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right="2" w:rightChars="1"/>
        <w:jc w:val="center"/>
        <w:rPr>
          <w:rFonts w:hint="eastAsia" w:ascii="宋体" w:hAnsi="宋体"/>
          <w:b/>
          <w:sz w:val="36"/>
          <w:szCs w:val="36"/>
        </w:rPr>
      </w:pPr>
    </w:p>
    <w:p>
      <w:pPr>
        <w:rPr>
          <w:rFonts w:hint="eastAsia" w:ascii="仿宋_GB2312" w:eastAsia="仿宋_GB2312"/>
          <w:b/>
          <w:sz w:val="28"/>
          <w:szCs w:val="28"/>
        </w:rPr>
      </w:pPr>
      <w:r>
        <w:rPr>
          <w:rFonts w:hint="eastAsia" w:ascii="仿宋_GB2312" w:eastAsia="仿宋_GB2312"/>
          <w:b/>
          <w:sz w:val="28"/>
          <w:szCs w:val="28"/>
        </w:rPr>
        <w:t>附件三：</w:t>
      </w:r>
    </w:p>
    <w:tbl>
      <w:tblPr>
        <w:tblStyle w:val="5"/>
        <w:tblW w:w="0" w:type="auto"/>
        <w:tblInd w:w="91" w:type="dxa"/>
        <w:tblLayout w:type="fixed"/>
        <w:tblCellMar>
          <w:top w:w="0" w:type="dxa"/>
          <w:left w:w="108" w:type="dxa"/>
          <w:bottom w:w="0" w:type="dxa"/>
          <w:right w:w="108" w:type="dxa"/>
        </w:tblCellMar>
      </w:tblPr>
      <w:tblGrid>
        <w:gridCol w:w="1872"/>
        <w:gridCol w:w="2434"/>
        <w:gridCol w:w="2351"/>
        <w:gridCol w:w="1943"/>
      </w:tblGrid>
      <w:tr>
        <w:tblPrEx>
          <w:tblCellMar>
            <w:top w:w="0" w:type="dxa"/>
            <w:left w:w="108" w:type="dxa"/>
            <w:bottom w:w="0" w:type="dxa"/>
            <w:right w:w="108" w:type="dxa"/>
          </w:tblCellMar>
        </w:tblPrEx>
        <w:trPr>
          <w:trHeight w:val="405" w:hRule="atLeast"/>
        </w:trPr>
        <w:tc>
          <w:tcPr>
            <w:tcW w:w="8600" w:type="dxa"/>
            <w:gridSpan w:val="4"/>
            <w:tcBorders>
              <w:top w:val="nil"/>
              <w:left w:val="nil"/>
              <w:bottom w:val="single" w:color="auto" w:sz="4" w:space="0"/>
              <w:right w:val="nil"/>
            </w:tcBorders>
            <w:noWrap w:val="0"/>
            <w:vAlign w:val="bottom"/>
          </w:tcPr>
          <w:p>
            <w:pPr>
              <w:widowControl/>
              <w:jc w:val="center"/>
              <w:textAlignment w:val="baseline"/>
              <w:rPr>
                <w:rFonts w:hint="default" w:ascii="仿宋_GB2312" w:hAnsi="宋体" w:eastAsia="仿宋_GB2312" w:cs="宋体"/>
                <w:b/>
                <w:bCs/>
                <w:sz w:val="28"/>
                <w:szCs w:val="28"/>
                <w:lang w:val="en-US" w:eastAsia="zh-CN"/>
              </w:rPr>
            </w:pPr>
            <w:r>
              <w:rPr>
                <w:rFonts w:hint="eastAsia" w:ascii="仿宋_GB2312" w:hAnsi="宋体" w:eastAsia="仿宋_GB2312" w:cs="宋体"/>
                <w:b/>
                <w:bCs/>
                <w:sz w:val="28"/>
                <w:szCs w:val="28"/>
                <w:lang w:val="en-US" w:eastAsia="zh-CN"/>
              </w:rPr>
              <w:t>滤液胶垫\VPA2040-60 SA229140-1(70368514)</w:t>
            </w:r>
          </w:p>
          <w:p>
            <w:pPr>
              <w:widowControl/>
              <w:jc w:val="center"/>
              <w:textAlignment w:val="baseline"/>
              <w:rPr>
                <w:rFonts w:hint="default" w:ascii="仿宋_GB2312" w:hAnsi="宋体" w:eastAsia="仿宋_GB2312" w:cs="宋体"/>
                <w:b/>
                <w:bCs/>
                <w:sz w:val="28"/>
                <w:szCs w:val="28"/>
                <w:lang w:val="en-US" w:eastAsia="zh-CN"/>
              </w:rPr>
            </w:pPr>
            <w:r>
              <w:rPr>
                <w:rFonts w:hint="eastAsia" w:ascii="仿宋_GB2312" w:hAnsi="宋体" w:eastAsia="仿宋_GB2312" w:cs="宋体"/>
                <w:b/>
                <w:bCs/>
                <w:sz w:val="28"/>
                <w:szCs w:val="28"/>
                <w:lang w:val="en-US" w:eastAsia="zh-CN"/>
              </w:rPr>
              <w:t>干燥胶垫\VPA2040-60 SA229141-1(70368512)</w:t>
            </w:r>
          </w:p>
          <w:p>
            <w:pPr>
              <w:widowControl/>
              <w:jc w:val="center"/>
              <w:textAlignment w:val="baseline"/>
              <w:rPr>
                <w:rFonts w:hint="eastAsia" w:ascii="仿宋_GB2312" w:hAnsi="宋体" w:eastAsia="仿宋_GB2312" w:cs="宋体"/>
                <w:b/>
                <w:bCs/>
                <w:sz w:val="28"/>
                <w:szCs w:val="28"/>
                <w:lang w:eastAsia="zh-CN"/>
              </w:rPr>
            </w:pPr>
            <w:r>
              <w:rPr>
                <w:rFonts w:hint="eastAsia" w:ascii="仿宋_GB2312" w:hAnsi="宋体" w:eastAsia="仿宋_GB2312" w:cs="宋体"/>
                <w:b/>
                <w:bCs/>
                <w:sz w:val="28"/>
                <w:szCs w:val="28"/>
                <w:lang w:eastAsia="zh-CN"/>
              </w:rPr>
              <w:t>采购技术规格书</w:t>
            </w:r>
          </w:p>
          <w:p>
            <w:pPr>
              <w:widowControl/>
              <w:jc w:val="center"/>
              <w:textAlignment w:val="baseline"/>
              <w:rPr>
                <w:rFonts w:ascii="仿宋_GB2312" w:hAnsi="宋体" w:eastAsia="仿宋_GB2312" w:cs="宋体"/>
                <w:b/>
                <w:bCs/>
                <w:sz w:val="32"/>
                <w:szCs w:val="32"/>
              </w:rPr>
            </w:pPr>
            <w:r>
              <w:rPr>
                <w:rFonts w:hint="eastAsia" w:ascii="仿宋_GB2312" w:hAnsi="宋体" w:eastAsia="仿宋_GB2312" w:cs="宋体"/>
                <w:b/>
                <w:bCs/>
                <w:sz w:val="28"/>
                <w:szCs w:val="28"/>
                <w:lang w:eastAsia="zh-CN"/>
              </w:rPr>
              <w:t>审核会签单</w:t>
            </w:r>
          </w:p>
        </w:tc>
      </w:tr>
      <w:tr>
        <w:tblPrEx>
          <w:tblCellMar>
            <w:top w:w="0" w:type="dxa"/>
            <w:left w:w="108" w:type="dxa"/>
            <w:bottom w:w="0" w:type="dxa"/>
            <w:right w:w="108" w:type="dxa"/>
          </w:tblCellMar>
        </w:tblPrEx>
        <w:trPr>
          <w:trHeight w:val="285" w:hRule="atLeast"/>
        </w:trPr>
        <w:tc>
          <w:tcPr>
            <w:tcW w:w="1872" w:type="dxa"/>
            <w:tcBorders>
              <w:top w:val="nil"/>
              <w:left w:val="single" w:color="auto" w:sz="4" w:space="0"/>
              <w:bottom w:val="single" w:color="auto" w:sz="4" w:space="0"/>
              <w:right w:val="single" w:color="auto" w:sz="4" w:space="0"/>
            </w:tcBorders>
            <w:noWrap w:val="0"/>
            <w:vAlign w:val="bottom"/>
          </w:tcPr>
          <w:p>
            <w:pPr>
              <w:widowControl/>
              <w:jc w:val="center"/>
              <w:rPr>
                <w:rFonts w:ascii="仿宋_GB2312" w:hAnsi="宋体" w:eastAsia="仿宋_GB2312" w:cs="宋体"/>
                <w:szCs w:val="24"/>
              </w:rPr>
            </w:pPr>
            <w:r>
              <w:rPr>
                <w:rFonts w:hint="eastAsia" w:ascii="仿宋_GB2312" w:hAnsi="宋体" w:eastAsia="仿宋_GB2312" w:cs="宋体"/>
              </w:rPr>
              <w:t>　</w:t>
            </w:r>
          </w:p>
        </w:tc>
        <w:tc>
          <w:tcPr>
            <w:tcW w:w="2434" w:type="dxa"/>
            <w:tcBorders>
              <w:top w:val="nil"/>
              <w:left w:val="nil"/>
              <w:bottom w:val="single" w:color="auto" w:sz="4" w:space="0"/>
              <w:right w:val="single" w:color="auto" w:sz="4" w:space="0"/>
            </w:tcBorders>
            <w:noWrap w:val="0"/>
            <w:vAlign w:val="bottom"/>
          </w:tcPr>
          <w:p>
            <w:pPr>
              <w:widowControl/>
              <w:jc w:val="center"/>
              <w:rPr>
                <w:rFonts w:ascii="仿宋_GB2312" w:hAnsi="宋体" w:eastAsia="仿宋_GB2312" w:cs="宋体"/>
                <w:szCs w:val="24"/>
              </w:rPr>
            </w:pPr>
            <w:r>
              <w:rPr>
                <w:rFonts w:hint="eastAsia" w:ascii="仿宋_GB2312" w:hAnsi="宋体" w:eastAsia="仿宋_GB2312" w:cs="宋体"/>
              </w:rPr>
              <w:t>选矿保障作业区</w:t>
            </w:r>
          </w:p>
        </w:tc>
        <w:tc>
          <w:tcPr>
            <w:tcW w:w="2351" w:type="dxa"/>
            <w:tcBorders>
              <w:top w:val="nil"/>
              <w:left w:val="nil"/>
              <w:bottom w:val="single" w:color="auto" w:sz="4" w:space="0"/>
              <w:right w:val="single" w:color="auto" w:sz="4" w:space="0"/>
            </w:tcBorders>
            <w:noWrap w:val="0"/>
            <w:vAlign w:val="bottom"/>
          </w:tcPr>
          <w:p>
            <w:pPr>
              <w:widowControl/>
              <w:jc w:val="center"/>
              <w:rPr>
                <w:rFonts w:ascii="仿宋_GB2312" w:hAnsi="宋体" w:eastAsia="仿宋_GB2312" w:cs="宋体"/>
                <w:szCs w:val="24"/>
              </w:rPr>
            </w:pPr>
            <w:r>
              <w:rPr>
                <w:rFonts w:hint="eastAsia" w:ascii="仿宋_GB2312" w:hAnsi="宋体" w:eastAsia="仿宋_GB2312" w:cs="宋体"/>
              </w:rPr>
              <w:t>生产技术科</w:t>
            </w:r>
          </w:p>
        </w:tc>
        <w:tc>
          <w:tcPr>
            <w:tcW w:w="1943" w:type="dxa"/>
            <w:tcBorders>
              <w:top w:val="nil"/>
              <w:left w:val="nil"/>
              <w:bottom w:val="single" w:color="auto" w:sz="4" w:space="0"/>
              <w:right w:val="single" w:color="auto" w:sz="4" w:space="0"/>
            </w:tcBorders>
            <w:noWrap w:val="0"/>
            <w:vAlign w:val="bottom"/>
          </w:tcPr>
          <w:p>
            <w:pPr>
              <w:widowControl/>
              <w:jc w:val="center"/>
              <w:rPr>
                <w:rFonts w:ascii="仿宋_GB2312" w:hAnsi="宋体" w:eastAsia="仿宋_GB2312" w:cs="宋体"/>
                <w:szCs w:val="24"/>
              </w:rPr>
            </w:pPr>
            <w:r>
              <w:rPr>
                <w:rFonts w:hint="eastAsia" w:ascii="仿宋_GB2312" w:hAnsi="宋体" w:eastAsia="仿宋_GB2312" w:cs="宋体"/>
              </w:rPr>
              <w:t>设备科</w:t>
            </w:r>
          </w:p>
        </w:tc>
      </w:tr>
      <w:tr>
        <w:tblPrEx>
          <w:tblCellMar>
            <w:top w:w="0" w:type="dxa"/>
            <w:left w:w="108" w:type="dxa"/>
            <w:bottom w:w="0" w:type="dxa"/>
            <w:right w:w="108" w:type="dxa"/>
          </w:tblCellMar>
        </w:tblPrEx>
        <w:trPr>
          <w:trHeight w:val="2926" w:hRule="atLeast"/>
        </w:trPr>
        <w:tc>
          <w:tcPr>
            <w:tcW w:w="1872"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szCs w:val="24"/>
              </w:rPr>
            </w:pPr>
            <w:r>
              <w:rPr>
                <w:rFonts w:hint="eastAsia" w:ascii="仿宋_GB2312" w:hAnsi="宋体" w:eastAsia="仿宋_GB2312" w:cs="宋体"/>
              </w:rPr>
              <w:t>协理工程师</w:t>
            </w:r>
          </w:p>
        </w:tc>
        <w:tc>
          <w:tcPr>
            <w:tcW w:w="2434" w:type="dxa"/>
            <w:tcBorders>
              <w:top w:val="nil"/>
              <w:left w:val="nil"/>
              <w:bottom w:val="nil"/>
              <w:right w:val="single" w:color="auto" w:sz="4" w:space="0"/>
            </w:tcBorders>
            <w:noWrap w:val="0"/>
            <w:vAlign w:val="center"/>
          </w:tcPr>
          <w:p>
            <w:pPr>
              <w:widowControl/>
              <w:jc w:val="both"/>
              <w:rPr>
                <w:rFonts w:ascii="仿宋_GB2312" w:hAnsi="宋体" w:eastAsia="仿宋_GB2312" w:cs="宋体"/>
                <w:szCs w:val="24"/>
              </w:rPr>
            </w:pPr>
            <w:r>
              <w:rPr>
                <w:rFonts w:hint="eastAsia" w:ascii="仿宋_GB2312" w:hAnsi="宋体" w:eastAsia="仿宋_GB2312" w:cs="宋体"/>
              </w:rPr>
              <w:t>意见：</w:t>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t xml:space="preserve">     签字</w:t>
            </w:r>
          </w:p>
        </w:tc>
        <w:tc>
          <w:tcPr>
            <w:tcW w:w="2351" w:type="dxa"/>
            <w:tcBorders>
              <w:top w:val="nil"/>
              <w:left w:val="nil"/>
              <w:bottom w:val="nil"/>
              <w:right w:val="single" w:color="auto" w:sz="4" w:space="0"/>
            </w:tcBorders>
            <w:noWrap w:val="0"/>
            <w:vAlign w:val="center"/>
          </w:tcPr>
          <w:p>
            <w:pPr>
              <w:widowControl/>
              <w:jc w:val="both"/>
              <w:rPr>
                <w:rFonts w:ascii="仿宋_GB2312" w:hAnsi="宋体" w:eastAsia="仿宋_GB2312" w:cs="宋体"/>
                <w:szCs w:val="24"/>
              </w:rPr>
            </w:pPr>
            <w:r>
              <w:rPr>
                <w:rFonts w:hint="eastAsia" w:ascii="仿宋_GB2312" w:hAnsi="宋体" w:eastAsia="仿宋_GB2312" w:cs="宋体"/>
              </w:rPr>
              <w:t>意见：</w:t>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t xml:space="preserve">     签字</w:t>
            </w:r>
          </w:p>
        </w:tc>
        <w:tc>
          <w:tcPr>
            <w:tcW w:w="1943" w:type="dxa"/>
            <w:tcBorders>
              <w:top w:val="nil"/>
              <w:left w:val="nil"/>
              <w:bottom w:val="nil"/>
              <w:right w:val="single" w:color="auto" w:sz="4" w:space="0"/>
            </w:tcBorders>
            <w:noWrap w:val="0"/>
            <w:vAlign w:val="center"/>
          </w:tcPr>
          <w:p>
            <w:pPr>
              <w:widowControl/>
              <w:jc w:val="both"/>
              <w:rPr>
                <w:rFonts w:ascii="仿宋_GB2312" w:hAnsi="宋体" w:eastAsia="仿宋_GB2312" w:cs="宋体"/>
                <w:szCs w:val="24"/>
              </w:rPr>
            </w:pPr>
            <w:r>
              <w:rPr>
                <w:rFonts w:hint="eastAsia" w:ascii="仿宋_GB2312" w:hAnsi="宋体" w:eastAsia="仿宋_GB2312" w:cs="宋体"/>
              </w:rPr>
              <w:t>意见：</w:t>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t xml:space="preserve">     签字</w:t>
            </w:r>
          </w:p>
        </w:tc>
      </w:tr>
      <w:tr>
        <w:tblPrEx>
          <w:tblCellMar>
            <w:top w:w="0" w:type="dxa"/>
            <w:left w:w="108" w:type="dxa"/>
            <w:bottom w:w="0" w:type="dxa"/>
            <w:right w:w="108" w:type="dxa"/>
          </w:tblCellMar>
        </w:tblPrEx>
        <w:trPr>
          <w:trHeight w:val="2964" w:hRule="atLeast"/>
        </w:trPr>
        <w:tc>
          <w:tcPr>
            <w:tcW w:w="1872"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szCs w:val="24"/>
              </w:rPr>
            </w:pPr>
            <w:r>
              <w:rPr>
                <w:rFonts w:hint="eastAsia" w:ascii="仿宋_GB2312" w:hAnsi="宋体" w:eastAsia="仿宋_GB2312" w:cs="宋体"/>
              </w:rPr>
              <w:t>责任工程师</w:t>
            </w:r>
          </w:p>
        </w:tc>
        <w:tc>
          <w:tcPr>
            <w:tcW w:w="2434" w:type="dxa"/>
            <w:tcBorders>
              <w:top w:val="single" w:color="auto" w:sz="4" w:space="0"/>
              <w:left w:val="nil"/>
              <w:bottom w:val="nil"/>
              <w:right w:val="single" w:color="auto" w:sz="4" w:space="0"/>
            </w:tcBorders>
            <w:noWrap w:val="0"/>
            <w:vAlign w:val="center"/>
          </w:tcPr>
          <w:p>
            <w:pPr>
              <w:widowControl/>
              <w:jc w:val="both"/>
              <w:rPr>
                <w:rFonts w:ascii="仿宋_GB2312" w:hAnsi="宋体" w:eastAsia="仿宋_GB2312" w:cs="宋体"/>
                <w:szCs w:val="24"/>
              </w:rPr>
            </w:pPr>
            <w:r>
              <w:rPr>
                <w:rFonts w:hint="eastAsia" w:ascii="仿宋_GB2312" w:hAnsi="宋体" w:eastAsia="仿宋_GB2312" w:cs="宋体"/>
              </w:rPr>
              <w:t>意见：</w:t>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t xml:space="preserve">     签字</w:t>
            </w:r>
          </w:p>
        </w:tc>
        <w:tc>
          <w:tcPr>
            <w:tcW w:w="2351" w:type="dxa"/>
            <w:tcBorders>
              <w:top w:val="single" w:color="auto" w:sz="4" w:space="0"/>
              <w:left w:val="nil"/>
              <w:bottom w:val="nil"/>
              <w:right w:val="single" w:color="auto" w:sz="4" w:space="0"/>
            </w:tcBorders>
            <w:noWrap w:val="0"/>
            <w:vAlign w:val="center"/>
          </w:tcPr>
          <w:p>
            <w:pPr>
              <w:widowControl/>
              <w:jc w:val="both"/>
              <w:rPr>
                <w:rFonts w:ascii="仿宋_GB2312" w:hAnsi="宋体" w:eastAsia="仿宋_GB2312" w:cs="宋体"/>
                <w:szCs w:val="24"/>
              </w:rPr>
            </w:pPr>
            <w:r>
              <w:rPr>
                <w:rFonts w:hint="eastAsia" w:ascii="仿宋_GB2312" w:hAnsi="宋体" w:eastAsia="仿宋_GB2312" w:cs="宋体"/>
              </w:rPr>
              <w:t>意见：</w:t>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t xml:space="preserve">     签字</w:t>
            </w:r>
          </w:p>
        </w:tc>
        <w:tc>
          <w:tcPr>
            <w:tcW w:w="1943" w:type="dxa"/>
            <w:tcBorders>
              <w:top w:val="single" w:color="auto" w:sz="4" w:space="0"/>
              <w:left w:val="nil"/>
              <w:bottom w:val="nil"/>
              <w:right w:val="single" w:color="auto" w:sz="4" w:space="0"/>
            </w:tcBorders>
            <w:noWrap w:val="0"/>
            <w:vAlign w:val="center"/>
          </w:tcPr>
          <w:p>
            <w:pPr>
              <w:widowControl/>
              <w:jc w:val="both"/>
              <w:rPr>
                <w:rFonts w:ascii="仿宋_GB2312" w:hAnsi="宋体" w:eastAsia="仿宋_GB2312" w:cs="宋体"/>
                <w:szCs w:val="24"/>
              </w:rPr>
            </w:pPr>
            <w:r>
              <w:rPr>
                <w:rFonts w:hint="eastAsia" w:ascii="仿宋_GB2312" w:hAnsi="宋体" w:eastAsia="仿宋_GB2312" w:cs="宋体"/>
              </w:rPr>
              <w:t>意见：</w:t>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t xml:space="preserve">     签字</w:t>
            </w:r>
          </w:p>
        </w:tc>
      </w:tr>
      <w:tr>
        <w:tblPrEx>
          <w:tblCellMar>
            <w:top w:w="0" w:type="dxa"/>
            <w:left w:w="108" w:type="dxa"/>
            <w:bottom w:w="0" w:type="dxa"/>
            <w:right w:w="108" w:type="dxa"/>
          </w:tblCellMar>
        </w:tblPrEx>
        <w:trPr>
          <w:trHeight w:val="3088" w:hRule="atLeast"/>
        </w:trPr>
        <w:tc>
          <w:tcPr>
            <w:tcW w:w="1872"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szCs w:val="24"/>
              </w:rPr>
            </w:pPr>
            <w:r>
              <w:rPr>
                <w:rFonts w:hint="eastAsia" w:ascii="仿宋_GB2312" w:hAnsi="宋体" w:eastAsia="仿宋_GB2312" w:cs="宋体"/>
              </w:rPr>
              <w:t>主任工程师</w:t>
            </w:r>
          </w:p>
        </w:tc>
        <w:tc>
          <w:tcPr>
            <w:tcW w:w="2434" w:type="dxa"/>
            <w:tcBorders>
              <w:top w:val="single" w:color="auto" w:sz="4" w:space="0"/>
              <w:left w:val="nil"/>
              <w:bottom w:val="nil"/>
              <w:right w:val="single" w:color="auto" w:sz="4" w:space="0"/>
            </w:tcBorders>
            <w:noWrap w:val="0"/>
            <w:vAlign w:val="center"/>
          </w:tcPr>
          <w:p>
            <w:pPr>
              <w:widowControl/>
              <w:jc w:val="both"/>
              <w:rPr>
                <w:rFonts w:ascii="仿宋_GB2312" w:hAnsi="宋体" w:eastAsia="仿宋_GB2312" w:cs="宋体"/>
                <w:szCs w:val="24"/>
              </w:rPr>
            </w:pPr>
            <w:r>
              <w:rPr>
                <w:rFonts w:hint="eastAsia" w:ascii="仿宋_GB2312" w:hAnsi="宋体" w:eastAsia="仿宋_GB2312" w:cs="宋体"/>
              </w:rPr>
              <w:t>意见：</w:t>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t xml:space="preserve">     签字</w:t>
            </w:r>
          </w:p>
        </w:tc>
        <w:tc>
          <w:tcPr>
            <w:tcW w:w="2351" w:type="dxa"/>
            <w:tcBorders>
              <w:top w:val="single" w:color="auto" w:sz="4" w:space="0"/>
              <w:left w:val="nil"/>
              <w:bottom w:val="nil"/>
              <w:right w:val="single" w:color="auto" w:sz="4" w:space="0"/>
            </w:tcBorders>
            <w:noWrap w:val="0"/>
            <w:vAlign w:val="center"/>
          </w:tcPr>
          <w:p>
            <w:pPr>
              <w:widowControl/>
              <w:jc w:val="both"/>
              <w:rPr>
                <w:rFonts w:ascii="仿宋_GB2312" w:hAnsi="宋体" w:eastAsia="仿宋_GB2312" w:cs="宋体"/>
                <w:szCs w:val="24"/>
              </w:rPr>
            </w:pPr>
            <w:r>
              <w:rPr>
                <w:rFonts w:hint="eastAsia" w:ascii="仿宋_GB2312" w:hAnsi="宋体" w:eastAsia="仿宋_GB2312" w:cs="宋体"/>
              </w:rPr>
              <w:t>意见：</w:t>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t xml:space="preserve">     签字</w:t>
            </w:r>
          </w:p>
        </w:tc>
        <w:tc>
          <w:tcPr>
            <w:tcW w:w="1943" w:type="dxa"/>
            <w:tcBorders>
              <w:top w:val="single" w:color="auto" w:sz="4" w:space="0"/>
              <w:left w:val="nil"/>
              <w:bottom w:val="nil"/>
              <w:right w:val="single" w:color="auto" w:sz="4" w:space="0"/>
            </w:tcBorders>
            <w:noWrap w:val="0"/>
            <w:vAlign w:val="center"/>
          </w:tcPr>
          <w:p>
            <w:pPr>
              <w:widowControl/>
              <w:jc w:val="both"/>
              <w:rPr>
                <w:rFonts w:ascii="仿宋_GB2312" w:hAnsi="宋体" w:eastAsia="仿宋_GB2312" w:cs="宋体"/>
                <w:szCs w:val="24"/>
              </w:rPr>
            </w:pPr>
            <w:r>
              <w:rPr>
                <w:rFonts w:hint="eastAsia" w:ascii="仿宋_GB2312" w:hAnsi="宋体" w:eastAsia="仿宋_GB2312" w:cs="宋体"/>
              </w:rPr>
              <w:t>意见：</w:t>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t xml:space="preserve">     签字</w:t>
            </w:r>
          </w:p>
        </w:tc>
      </w:tr>
      <w:tr>
        <w:tblPrEx>
          <w:tblCellMar>
            <w:top w:w="0" w:type="dxa"/>
            <w:left w:w="108" w:type="dxa"/>
            <w:bottom w:w="0" w:type="dxa"/>
            <w:right w:w="108" w:type="dxa"/>
          </w:tblCellMar>
        </w:tblPrEx>
        <w:trPr>
          <w:trHeight w:val="1017" w:hRule="atLeast"/>
        </w:trPr>
        <w:tc>
          <w:tcPr>
            <w:tcW w:w="1872"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szCs w:val="24"/>
              </w:rPr>
            </w:pPr>
            <w:r>
              <w:rPr>
                <w:rFonts w:hint="eastAsia" w:ascii="仿宋_GB2312" w:hAnsi="宋体" w:eastAsia="仿宋_GB2312" w:cs="宋体"/>
              </w:rPr>
              <w:t>备注</w:t>
            </w:r>
          </w:p>
        </w:tc>
        <w:tc>
          <w:tcPr>
            <w:tcW w:w="6728" w:type="dxa"/>
            <w:gridSpan w:val="3"/>
            <w:tcBorders>
              <w:top w:val="single" w:color="auto" w:sz="4" w:space="0"/>
              <w:left w:val="nil"/>
              <w:bottom w:val="single" w:color="auto" w:sz="4" w:space="0"/>
              <w:right w:val="single" w:color="auto" w:sz="4" w:space="0"/>
            </w:tcBorders>
            <w:noWrap w:val="0"/>
            <w:vAlign w:val="top"/>
          </w:tcPr>
          <w:p>
            <w:pPr>
              <w:widowControl/>
              <w:jc w:val="both"/>
              <w:rPr>
                <w:rFonts w:ascii="仿宋_GB2312" w:hAnsi="宋体" w:eastAsia="仿宋_GB2312" w:cs="宋体"/>
                <w:szCs w:val="24"/>
              </w:rPr>
            </w:pPr>
            <w:r>
              <w:rPr>
                <w:rFonts w:hint="eastAsia" w:ascii="仿宋_GB2312" w:hAnsi="宋体" w:eastAsia="仿宋_GB2312" w:cs="宋体"/>
              </w:rPr>
              <w:t>记录：</w:t>
            </w:r>
          </w:p>
        </w:tc>
      </w:tr>
    </w:tbl>
    <w:p>
      <w:pPr>
        <w:widowControl/>
        <w:rPr>
          <w:rFonts w:hint="eastAsia" w:ascii="仿宋_GB2312" w:hAnsi="宋体" w:eastAsia="仿宋_GB2312" w:cs="宋体"/>
        </w:rPr>
      </w:pPr>
    </w:p>
    <w:p>
      <w:pPr>
        <w:widowControl/>
        <w:rPr>
          <w:rFonts w:hint="eastAsia" w:ascii="仿宋_GB2312" w:hAnsi="宋体" w:eastAsia="仿宋_GB2312" w:cs="宋体"/>
        </w:rPr>
      </w:pPr>
      <w:r>
        <w:rPr>
          <w:rFonts w:hint="eastAsia" w:ascii="仿宋_GB2312" w:hAnsi="宋体" w:eastAsia="仿宋_GB2312" w:cs="宋体"/>
        </w:rPr>
        <w:t>备注：</w:t>
      </w:r>
    </w:p>
    <w:p>
      <w:pPr>
        <w:widowControl/>
        <w:rPr>
          <w:rFonts w:hint="eastAsia" w:ascii="宋体" w:hAnsi="宋体"/>
          <w:b/>
          <w:sz w:val="36"/>
          <w:szCs w:val="36"/>
        </w:rPr>
      </w:pPr>
      <w:r>
        <w:rPr>
          <w:rFonts w:hint="eastAsia" w:ascii="仿宋_GB2312" w:hAnsi="宋体" w:eastAsia="仿宋_GB2312" w:cs="宋体"/>
        </w:rPr>
        <w:t>审核人员若对</w:t>
      </w:r>
      <w:r>
        <w:rPr>
          <w:rFonts w:hint="eastAsia" w:ascii="仿宋_GB2312" w:hAnsi="宋体" w:eastAsia="仿宋_GB2312" w:cs="宋体"/>
          <w:lang w:eastAsia="zh-CN"/>
        </w:rPr>
        <w:t>技术规格书</w:t>
      </w:r>
      <w:r>
        <w:rPr>
          <w:rFonts w:hint="eastAsia" w:ascii="仿宋_GB2312" w:hAnsi="宋体" w:eastAsia="仿宋_GB2312" w:cs="宋体"/>
        </w:rPr>
        <w:t>文本有修改意见，在会签意见栏中说明，否则填写“同意”。</w:t>
      </w:r>
    </w:p>
    <w:p>
      <w:pPr>
        <w:snapToGrid w:val="0"/>
        <w:spacing w:line="360" w:lineRule="auto"/>
        <w:ind w:right="2" w:rightChars="1"/>
        <w:jc w:val="center"/>
        <w:rPr>
          <w:rFonts w:hint="eastAsia" w:ascii="宋体" w:hAnsi="宋体"/>
          <w:sz w:val="36"/>
          <w:szCs w:val="36"/>
        </w:rPr>
      </w:pPr>
    </w:p>
    <w:p>
      <w:pPr>
        <w:snapToGrid w:val="0"/>
        <w:spacing w:line="360" w:lineRule="auto"/>
        <w:ind w:right="2" w:rightChars="1"/>
        <w:jc w:val="center"/>
        <w:rPr>
          <w:rFonts w:hint="eastAsia" w:ascii="宋体" w:hAnsi="宋体"/>
          <w:sz w:val="36"/>
          <w:szCs w:val="36"/>
        </w:rPr>
      </w:pPr>
    </w:p>
    <w:p>
      <w:pPr>
        <w:snapToGrid w:val="0"/>
        <w:spacing w:line="360" w:lineRule="auto"/>
        <w:ind w:right="2" w:rightChars="1"/>
        <w:jc w:val="center"/>
        <w:rPr>
          <w:rFonts w:hint="eastAsia" w:ascii="宋体" w:hAnsi="宋体"/>
          <w:b/>
          <w:bCs/>
          <w:sz w:val="36"/>
          <w:szCs w:val="36"/>
        </w:rPr>
      </w:pPr>
    </w:p>
    <w:p>
      <w:pPr>
        <w:snapToGrid w:val="0"/>
        <w:spacing w:line="360" w:lineRule="auto"/>
        <w:ind w:right="2" w:rightChars="1"/>
        <w:jc w:val="center"/>
        <w:rPr>
          <w:rFonts w:hint="eastAsia" w:ascii="宋体" w:hAnsi="宋体"/>
          <w:b/>
          <w:bCs/>
          <w:sz w:val="36"/>
          <w:szCs w:val="36"/>
        </w:rPr>
      </w:pPr>
      <w:r>
        <w:rPr>
          <w:rFonts w:hint="eastAsia" w:ascii="宋体" w:hAnsi="宋体"/>
          <w:b/>
          <w:bCs/>
          <w:sz w:val="36"/>
          <w:szCs w:val="36"/>
        </w:rPr>
        <w:t>甘肃酒钢集团宏兴钢铁股份有限公司选</w:t>
      </w:r>
      <w:r>
        <w:rPr>
          <w:rFonts w:hint="eastAsia" w:ascii="宋体" w:hAnsi="宋体"/>
          <w:b/>
          <w:bCs/>
          <w:sz w:val="36"/>
          <w:szCs w:val="36"/>
          <w:lang w:eastAsia="zh-CN"/>
        </w:rPr>
        <w:t>矿</w:t>
      </w:r>
      <w:r>
        <w:rPr>
          <w:rFonts w:hint="eastAsia" w:ascii="宋体" w:hAnsi="宋体"/>
          <w:b/>
          <w:bCs/>
          <w:sz w:val="36"/>
          <w:szCs w:val="36"/>
        </w:rPr>
        <w:t>厂</w:t>
      </w:r>
    </w:p>
    <w:p>
      <w:pPr>
        <w:snapToGrid w:val="0"/>
        <w:spacing w:line="360" w:lineRule="auto"/>
        <w:ind w:right="2" w:rightChars="1"/>
        <w:jc w:val="center"/>
        <w:rPr>
          <w:rFonts w:hint="eastAsia" w:ascii="宋体" w:hAnsi="宋体"/>
          <w:b/>
          <w:bCs/>
          <w:sz w:val="36"/>
          <w:szCs w:val="36"/>
        </w:rPr>
      </w:pPr>
    </w:p>
    <w:p>
      <w:pPr>
        <w:snapToGrid w:val="0"/>
        <w:spacing w:line="360" w:lineRule="auto"/>
        <w:ind w:right="2" w:rightChars="1"/>
        <w:jc w:val="center"/>
        <w:rPr>
          <w:rFonts w:hint="default" w:ascii="宋体" w:hAnsi="宋体"/>
          <w:b/>
          <w:bCs/>
          <w:sz w:val="36"/>
          <w:szCs w:val="36"/>
          <w:lang w:val="en-US" w:eastAsia="zh-CN"/>
        </w:rPr>
      </w:pPr>
      <w:r>
        <w:rPr>
          <w:rFonts w:hint="eastAsia" w:ascii="宋体" w:hAnsi="宋体"/>
          <w:b/>
          <w:bCs/>
          <w:sz w:val="36"/>
          <w:szCs w:val="36"/>
          <w:lang w:val="en-US" w:eastAsia="zh-CN"/>
        </w:rPr>
        <w:t>滤液胶垫\VPA2040-60 SA229140-1(70368514)</w:t>
      </w:r>
    </w:p>
    <w:p>
      <w:pPr>
        <w:snapToGrid w:val="0"/>
        <w:spacing w:line="360" w:lineRule="auto"/>
        <w:ind w:right="2" w:rightChars="1"/>
        <w:jc w:val="center"/>
        <w:rPr>
          <w:rFonts w:hint="default" w:ascii="宋体" w:hAnsi="宋体"/>
          <w:b/>
          <w:bCs/>
          <w:sz w:val="36"/>
          <w:szCs w:val="36"/>
          <w:lang w:val="en-US" w:eastAsia="zh-CN"/>
        </w:rPr>
      </w:pPr>
      <w:r>
        <w:rPr>
          <w:rFonts w:hint="eastAsia" w:ascii="宋体" w:hAnsi="宋体"/>
          <w:b/>
          <w:bCs/>
          <w:sz w:val="36"/>
          <w:szCs w:val="36"/>
          <w:lang w:val="en-US" w:eastAsia="zh-CN"/>
        </w:rPr>
        <w:t>干燥胶垫\VPA2040-60 SA229141-1(70368512)</w:t>
      </w:r>
    </w:p>
    <w:p>
      <w:pPr>
        <w:snapToGrid w:val="0"/>
        <w:spacing w:line="360" w:lineRule="auto"/>
        <w:ind w:right="2" w:rightChars="1"/>
        <w:jc w:val="center"/>
        <w:rPr>
          <w:rFonts w:hint="eastAsia" w:ascii="宋体" w:hAnsi="宋体"/>
          <w:b/>
          <w:bCs/>
          <w:sz w:val="36"/>
          <w:szCs w:val="36"/>
        </w:rPr>
      </w:pPr>
      <w:r>
        <w:rPr>
          <w:rFonts w:hint="eastAsia" w:ascii="宋体" w:hAnsi="宋体"/>
          <w:b/>
          <w:bCs/>
          <w:sz w:val="36"/>
          <w:szCs w:val="36"/>
        </w:rPr>
        <w:t>采购</w:t>
      </w:r>
      <w:r>
        <w:rPr>
          <w:rFonts w:hint="eastAsia" w:ascii="宋体" w:hAnsi="宋体"/>
          <w:b/>
          <w:bCs/>
          <w:sz w:val="36"/>
          <w:szCs w:val="36"/>
          <w:lang w:eastAsia="zh-CN"/>
        </w:rPr>
        <w:t>技术规格书</w:t>
      </w:r>
    </w:p>
    <w:p>
      <w:pPr>
        <w:snapToGrid w:val="0"/>
        <w:spacing w:line="360" w:lineRule="auto"/>
        <w:ind w:right="-447"/>
        <w:jc w:val="center"/>
        <w:rPr>
          <w:rFonts w:hint="eastAsia" w:ascii="宋体" w:hAnsi="宋体"/>
          <w:sz w:val="36"/>
          <w:szCs w:val="48"/>
        </w:rPr>
      </w:pPr>
    </w:p>
    <w:p>
      <w:pPr>
        <w:snapToGrid w:val="0"/>
        <w:spacing w:line="360" w:lineRule="auto"/>
        <w:ind w:right="-447"/>
        <w:jc w:val="center"/>
        <w:rPr>
          <w:rFonts w:hint="eastAsia" w:ascii="宋体" w:hAnsi="宋体"/>
          <w:sz w:val="36"/>
          <w:szCs w:val="48"/>
        </w:rPr>
      </w:pPr>
    </w:p>
    <w:p>
      <w:pPr>
        <w:snapToGrid w:val="0"/>
        <w:spacing w:line="360" w:lineRule="auto"/>
        <w:ind w:right="2" w:rightChars="1" w:firstLine="560" w:firstLineChars="200"/>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napToGrid w:val="0"/>
        <w:spacing w:line="480" w:lineRule="auto"/>
        <w:ind w:right="2" w:rightChars="1" w:firstLine="700" w:firstLineChars="250"/>
        <w:textAlignment w:val="auto"/>
        <w:rPr>
          <w:rFonts w:hint="eastAsia" w:ascii="宋体" w:hAnsi="宋体"/>
          <w:b/>
          <w:sz w:val="36"/>
          <w:szCs w:val="36"/>
        </w:rPr>
      </w:pPr>
      <w:r>
        <w:rPr>
          <w:rFonts w:hint="eastAsia" w:ascii="宋体" w:hAnsi="宋体"/>
          <w:b/>
          <w:sz w:val="28"/>
          <w:szCs w:val="28"/>
        </w:rPr>
        <w:t>甲方：甘肃酒钢集团宏兴钢铁股份有限公司</w:t>
      </w:r>
      <w:r>
        <w:rPr>
          <w:rFonts w:hint="eastAsia" w:ascii="宋体" w:hAnsi="宋体"/>
          <w:b/>
          <w:sz w:val="28"/>
          <w:szCs w:val="28"/>
          <w:lang w:eastAsia="zh-CN"/>
        </w:rPr>
        <w:t>选矿</w:t>
      </w:r>
      <w:r>
        <w:rPr>
          <w:rFonts w:hint="eastAsia" w:ascii="宋体" w:hAnsi="宋体"/>
          <w:b/>
          <w:sz w:val="28"/>
          <w:szCs w:val="28"/>
        </w:rPr>
        <w:t>厂</w:t>
      </w:r>
    </w:p>
    <w:p>
      <w:pPr>
        <w:keepNext w:val="0"/>
        <w:keepLines w:val="0"/>
        <w:pageBreakBefore w:val="0"/>
        <w:widowControl w:val="0"/>
        <w:kinsoku/>
        <w:wordWrap/>
        <w:overflowPunct/>
        <w:topLinePunct w:val="0"/>
        <w:autoSpaceDE/>
        <w:autoSpaceDN/>
        <w:bidi w:val="0"/>
        <w:adjustRightInd/>
        <w:snapToGrid w:val="0"/>
        <w:spacing w:line="480" w:lineRule="auto"/>
        <w:ind w:right="2" w:rightChars="1" w:firstLine="700" w:firstLineChars="250"/>
        <w:textAlignment w:val="auto"/>
        <w:rPr>
          <w:rFonts w:hint="eastAsia" w:ascii="宋体" w:hAnsi="宋体"/>
          <w:b/>
          <w:sz w:val="28"/>
          <w:szCs w:val="28"/>
        </w:rPr>
      </w:pPr>
      <w:r>
        <w:rPr>
          <w:rFonts w:hint="eastAsia" w:ascii="宋体" w:hAnsi="宋体"/>
          <w:b/>
          <w:sz w:val="28"/>
          <w:szCs w:val="28"/>
        </w:rPr>
        <w:t>甲方代表（签字）：</w:t>
      </w:r>
    </w:p>
    <w:p>
      <w:pPr>
        <w:keepNext w:val="0"/>
        <w:keepLines w:val="0"/>
        <w:pageBreakBefore w:val="0"/>
        <w:widowControl w:val="0"/>
        <w:kinsoku/>
        <w:wordWrap/>
        <w:overflowPunct/>
        <w:topLinePunct w:val="0"/>
        <w:autoSpaceDE/>
        <w:autoSpaceDN/>
        <w:bidi w:val="0"/>
        <w:adjustRightInd/>
        <w:snapToGrid w:val="0"/>
        <w:spacing w:line="480" w:lineRule="auto"/>
        <w:ind w:right="2" w:rightChars="1" w:firstLine="700" w:firstLineChars="250"/>
        <w:textAlignment w:val="auto"/>
        <w:rPr>
          <w:rFonts w:hint="eastAsia" w:ascii="宋体" w:hAnsi="宋体"/>
          <w:b/>
          <w:sz w:val="28"/>
          <w:szCs w:val="28"/>
        </w:rPr>
      </w:pPr>
      <w:r>
        <w:rPr>
          <w:rFonts w:hint="eastAsia" w:ascii="宋体" w:hAnsi="宋体"/>
          <w:b/>
          <w:sz w:val="28"/>
          <w:szCs w:val="28"/>
        </w:rPr>
        <w:t xml:space="preserve">乙方： </w:t>
      </w:r>
    </w:p>
    <w:p>
      <w:pPr>
        <w:keepNext w:val="0"/>
        <w:keepLines w:val="0"/>
        <w:pageBreakBefore w:val="0"/>
        <w:widowControl w:val="0"/>
        <w:kinsoku/>
        <w:wordWrap/>
        <w:overflowPunct/>
        <w:topLinePunct w:val="0"/>
        <w:autoSpaceDE/>
        <w:autoSpaceDN/>
        <w:bidi w:val="0"/>
        <w:adjustRightInd/>
        <w:snapToGrid w:val="0"/>
        <w:spacing w:line="480" w:lineRule="auto"/>
        <w:ind w:right="2" w:rightChars="1" w:firstLine="700" w:firstLineChars="250"/>
        <w:textAlignment w:val="auto"/>
        <w:rPr>
          <w:rFonts w:hint="eastAsia" w:ascii="宋体" w:hAnsi="宋体"/>
          <w:b/>
          <w:sz w:val="28"/>
          <w:szCs w:val="28"/>
        </w:rPr>
      </w:pPr>
      <w:r>
        <w:rPr>
          <w:rFonts w:hint="eastAsia" w:ascii="宋体" w:hAnsi="宋体"/>
          <w:b/>
          <w:sz w:val="28"/>
          <w:szCs w:val="28"/>
        </w:rPr>
        <w:t>乙方代表（签字）：</w:t>
      </w:r>
    </w:p>
    <w:p>
      <w:pPr>
        <w:snapToGrid w:val="0"/>
        <w:spacing w:line="360" w:lineRule="auto"/>
        <w:ind w:right="2" w:rightChars="1" w:firstLine="700" w:firstLineChars="250"/>
        <w:rPr>
          <w:rFonts w:hint="eastAsia" w:ascii="宋体" w:hAnsi="宋体"/>
          <w:b/>
          <w:sz w:val="28"/>
          <w:szCs w:val="28"/>
        </w:rPr>
      </w:pPr>
    </w:p>
    <w:p>
      <w:pPr>
        <w:snapToGrid w:val="0"/>
        <w:spacing w:before="100" w:beforeAutospacing="1" w:after="100" w:afterAutospacing="1" w:line="360" w:lineRule="auto"/>
        <w:ind w:right="-447" w:firstLine="1345" w:firstLineChars="420"/>
        <w:jc w:val="center"/>
        <w:rPr>
          <w:rFonts w:hint="eastAsia" w:ascii="宋体" w:hAnsi="宋体"/>
          <w:b/>
          <w:sz w:val="32"/>
          <w:szCs w:val="32"/>
        </w:rPr>
      </w:pPr>
    </w:p>
    <w:p>
      <w:pPr>
        <w:widowControl/>
        <w:spacing w:before="100" w:beforeAutospacing="1" w:after="100" w:afterAutospacing="1" w:line="360" w:lineRule="auto"/>
        <w:ind w:right="63" w:rightChars="30"/>
        <w:jc w:val="center"/>
        <w:rPr>
          <w:rFonts w:hint="eastAsia" w:ascii="宋体" w:hAnsi="宋体"/>
          <w:b/>
          <w:sz w:val="30"/>
          <w:szCs w:val="30"/>
        </w:rPr>
      </w:pPr>
      <w:r>
        <w:rPr>
          <w:rFonts w:hint="eastAsia" w:ascii="宋体" w:hAnsi="宋体" w:eastAsia="宋体" w:cs="宋体"/>
          <w:b/>
          <w:color w:val="auto"/>
          <w:sz w:val="30"/>
          <w:szCs w:val="30"/>
          <w:lang w:val="en-US" w:eastAsia="zh-CN"/>
        </w:rPr>
        <w:t>日期</w:t>
      </w:r>
      <w:r>
        <w:rPr>
          <w:rFonts w:hint="eastAsia" w:ascii="宋体" w:hAnsi="宋体" w:eastAsia="宋体" w:cs="宋体"/>
          <w:b/>
          <w:color w:val="auto"/>
          <w:sz w:val="30"/>
          <w:szCs w:val="30"/>
        </w:rPr>
        <w:t>：</w:t>
      </w:r>
      <w:r>
        <w:rPr>
          <w:rFonts w:hint="eastAsia" w:ascii="宋体" w:hAnsi="宋体" w:eastAsia="宋体" w:cs="宋体"/>
          <w:b/>
          <w:color w:val="auto"/>
          <w:sz w:val="30"/>
          <w:szCs w:val="30"/>
          <w:lang w:val="en-US" w:eastAsia="zh-CN"/>
        </w:rPr>
        <w:t xml:space="preserve">   </w:t>
      </w:r>
      <w:r>
        <w:rPr>
          <w:rFonts w:hint="eastAsia" w:ascii="宋体" w:hAnsi="宋体"/>
          <w:b/>
          <w:sz w:val="30"/>
          <w:szCs w:val="30"/>
        </w:rPr>
        <w:t>年   月   日</w:t>
      </w:r>
    </w:p>
    <w:p>
      <w:pPr>
        <w:snapToGrid w:val="0"/>
        <w:spacing w:line="360" w:lineRule="auto"/>
        <w:ind w:right="2" w:rightChars="1" w:firstLine="2711" w:firstLineChars="900"/>
        <w:jc w:val="both"/>
        <w:rPr>
          <w:rFonts w:hint="eastAsia" w:ascii="宋体" w:hAnsi="宋体"/>
          <w:b/>
          <w:sz w:val="36"/>
          <w:szCs w:val="36"/>
        </w:rPr>
      </w:pPr>
      <w:r>
        <w:rPr>
          <w:rFonts w:hint="eastAsia" w:ascii="宋体" w:hAnsi="宋体" w:eastAsia="宋体" w:cs="宋体"/>
          <w:b/>
          <w:color w:val="auto"/>
          <w:sz w:val="30"/>
          <w:szCs w:val="30"/>
        </w:rPr>
        <w:t>地点：甘肃省嘉峪关市</w:t>
      </w:r>
      <w:r>
        <w:rPr>
          <w:rFonts w:hint="eastAsia" w:eastAsia="宋体"/>
          <w:sz w:val="28"/>
          <w:szCs w:val="28"/>
          <w:lang w:val="en-US" w:eastAsia="zh-CN"/>
        </w:rPr>
        <w:t xml:space="preserve">                               </w:t>
      </w:r>
    </w:p>
    <w:p>
      <w:pPr>
        <w:snapToGrid w:val="0"/>
        <w:spacing w:line="360" w:lineRule="auto"/>
        <w:ind w:right="-447"/>
        <w:rPr>
          <w:rFonts w:hint="eastAsia" w:ascii="宋体" w:hAnsi="宋体"/>
          <w:b/>
          <w:sz w:val="36"/>
          <w:szCs w:val="48"/>
        </w:rPr>
      </w:pPr>
    </w:p>
    <w:p>
      <w:pPr>
        <w:snapToGrid w:val="0"/>
        <w:spacing w:line="360" w:lineRule="auto"/>
        <w:ind w:right="2" w:rightChars="1" w:firstLine="560" w:firstLineChars="200"/>
        <w:rPr>
          <w:rFonts w:hint="eastAsia" w:ascii="宋体" w:hAnsi="宋体"/>
          <w:b/>
          <w:sz w:val="28"/>
          <w:szCs w:val="28"/>
        </w:rPr>
      </w:pPr>
    </w:p>
    <w:p>
      <w:pPr>
        <w:snapToGrid w:val="0"/>
        <w:spacing w:line="360" w:lineRule="auto"/>
        <w:ind w:right="2" w:rightChars="1" w:firstLine="560" w:firstLineChars="200"/>
        <w:rPr>
          <w:rFonts w:hint="eastAsia" w:ascii="宋体" w:hAnsi="宋体"/>
          <w:b/>
          <w:sz w:val="28"/>
          <w:szCs w:val="28"/>
        </w:rPr>
      </w:pPr>
    </w:p>
    <w:p>
      <w:pPr>
        <w:spacing w:line="223" w:lineRule="auto"/>
        <w:rPr>
          <w:sz w:val="28"/>
          <w:szCs w:val="28"/>
        </w:rPr>
        <w:sectPr>
          <w:pgSz w:w="11907" w:h="16840"/>
          <w:pgMar w:top="1431" w:right="1786" w:bottom="0" w:left="1786" w:header="0" w:footer="0" w:gutter="0"/>
          <w:cols w:space="720" w:num="1"/>
        </w:sectPr>
      </w:pPr>
    </w:p>
    <w:p>
      <w:pPr>
        <w:keepNext w:val="0"/>
        <w:keepLines w:val="0"/>
        <w:pageBreakBefore w:val="0"/>
        <w:widowControl/>
        <w:kinsoku/>
        <w:wordWrap/>
        <w:overflowPunct/>
        <w:topLinePunct w:val="0"/>
        <w:autoSpaceDE/>
        <w:autoSpaceDN/>
        <w:bidi w:val="0"/>
        <w:adjustRightInd/>
        <w:snapToGrid/>
        <w:ind w:firstLine="480" w:firstLineChars="200"/>
        <w:jc w:val="left"/>
        <w:textAlignment w:val="baseline"/>
        <w:rPr>
          <w:rFonts w:hint="eastAsia" w:ascii="宋体" w:hAnsi="宋体" w:eastAsia="宋体" w:cs="宋体"/>
          <w:snapToGrid w:val="0"/>
          <w:sz w:val="21"/>
          <w:szCs w:val="21"/>
        </w:rPr>
      </w:pPr>
      <w:r>
        <w:rPr>
          <w:rFonts w:hint="eastAsia" w:ascii="宋体" w:hAnsi="宋体" w:eastAsia="宋体" w:cs="宋体"/>
          <w:color w:val="auto"/>
          <w:kern w:val="0"/>
          <w:sz w:val="24"/>
          <w:szCs w:val="28"/>
        </w:rPr>
        <w:t>甘肃酒钢集团宏兴钢铁股份有限公司</w:t>
      </w:r>
      <w:r>
        <w:rPr>
          <w:rFonts w:hint="eastAsia" w:ascii="宋体" w:hAnsi="宋体" w:eastAsia="宋体" w:cs="宋体"/>
          <w:color w:val="auto"/>
          <w:kern w:val="0"/>
          <w:sz w:val="24"/>
          <w:szCs w:val="28"/>
          <w:lang w:eastAsia="zh-CN"/>
        </w:rPr>
        <w:t>选矿厂</w:t>
      </w:r>
      <w:r>
        <w:rPr>
          <w:rFonts w:hint="eastAsia" w:ascii="宋体" w:hAnsi="宋体" w:eastAsia="宋体" w:cs="宋体"/>
          <w:color w:val="auto"/>
          <w:kern w:val="0"/>
          <w:sz w:val="24"/>
          <w:szCs w:val="28"/>
        </w:rPr>
        <w:t>（以下称甲方）与</w:t>
      </w:r>
      <w:r>
        <w:rPr>
          <w:rFonts w:hint="eastAsia" w:ascii="宋体" w:hAnsi="宋体" w:eastAsia="宋体" w:cs="宋体"/>
          <w:color w:val="auto"/>
          <w:kern w:val="0"/>
          <w:sz w:val="24"/>
          <w:szCs w:val="28"/>
          <w:u w:val="single"/>
        </w:rPr>
        <w:t xml:space="preserve">                 </w:t>
      </w:r>
      <w:r>
        <w:rPr>
          <w:rFonts w:hint="eastAsia" w:ascii="宋体" w:hAnsi="宋体" w:eastAsia="宋体" w:cs="宋体"/>
          <w:color w:val="auto"/>
          <w:kern w:val="0"/>
          <w:sz w:val="24"/>
          <w:szCs w:val="28"/>
        </w:rPr>
        <w:t>（以下称乙方）就甲方</w:t>
      </w:r>
      <w:r>
        <w:rPr>
          <w:rFonts w:hint="eastAsia" w:ascii="宋体" w:hAnsi="宋体" w:eastAsia="宋体" w:cs="宋体"/>
          <w:color w:val="auto"/>
          <w:kern w:val="0"/>
          <w:sz w:val="24"/>
          <w:szCs w:val="28"/>
          <w:lang w:val="en-US" w:eastAsia="zh-CN"/>
        </w:rPr>
        <w:t xml:space="preserve"> 回流控制阀</w:t>
      </w:r>
      <w:r>
        <w:rPr>
          <w:rFonts w:hint="eastAsia" w:ascii="宋体" w:hAnsi="宋体" w:eastAsia="宋体" w:cs="宋体"/>
          <w:color w:val="auto"/>
          <w:kern w:val="0"/>
          <w:sz w:val="24"/>
          <w:szCs w:val="28"/>
        </w:rPr>
        <w:t>供货事宜经双方协商，达成如下</w:t>
      </w:r>
      <w:r>
        <w:rPr>
          <w:rFonts w:hint="eastAsia" w:ascii="宋体" w:hAnsi="宋体" w:eastAsia="宋体" w:cs="宋体"/>
          <w:color w:val="auto"/>
          <w:kern w:val="0"/>
          <w:sz w:val="24"/>
          <w:szCs w:val="28"/>
          <w:lang w:eastAsia="zh-CN"/>
        </w:rPr>
        <w:t>技术规格书</w:t>
      </w:r>
      <w:r>
        <w:rPr>
          <w:rFonts w:hint="eastAsia" w:ascii="宋体" w:hAnsi="宋体" w:eastAsia="宋体" w:cs="宋体"/>
          <w:color w:val="auto"/>
          <w:kern w:val="0"/>
          <w:sz w:val="24"/>
          <w:szCs w:val="28"/>
        </w:rPr>
        <w:t>：</w:t>
      </w:r>
    </w:p>
    <w:p>
      <w:pPr>
        <w:spacing w:line="360" w:lineRule="auto"/>
        <w:rPr>
          <w:rFonts w:hint="eastAsia" w:ascii="宋体" w:hAnsi="宋体" w:eastAsia="宋体" w:cs="宋体"/>
          <w:b/>
          <w:color w:val="auto"/>
          <w:sz w:val="24"/>
          <w:szCs w:val="22"/>
        </w:rPr>
      </w:pPr>
      <w:r>
        <w:rPr>
          <w:rFonts w:hint="eastAsia" w:ascii="宋体" w:hAnsi="宋体" w:eastAsia="宋体" w:cs="宋体"/>
          <w:b/>
          <w:color w:val="auto"/>
          <w:sz w:val="24"/>
          <w:szCs w:val="22"/>
          <w:lang w:eastAsia="zh-CN"/>
        </w:rPr>
        <w:t>一、</w:t>
      </w:r>
      <w:r>
        <w:rPr>
          <w:rFonts w:hint="eastAsia" w:ascii="宋体" w:hAnsi="宋体" w:eastAsia="宋体" w:cs="宋体"/>
          <w:b/>
          <w:color w:val="auto"/>
          <w:sz w:val="24"/>
          <w:szCs w:val="22"/>
        </w:rPr>
        <w:t>总则</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本技术协议作为甲方设备订货合同的附件，与订货合同同时生效，具有同等法律效力。合同执行期间双方再协商形成的补充协议和追加条款也具有同等法律效力。</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1.关于产品制造标准</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eastAsia="zh-CN"/>
        </w:rPr>
      </w:pPr>
      <w:r>
        <w:rPr>
          <w:rFonts w:hint="eastAsia" w:ascii="宋体" w:hAnsi="宋体" w:eastAsia="宋体" w:cs="宋体"/>
          <w:color w:val="auto"/>
          <w:kern w:val="0"/>
          <w:sz w:val="24"/>
          <w:szCs w:val="28"/>
          <w:lang w:val="en-US" w:eastAsia="zh-CN"/>
        </w:rPr>
        <w:t xml:space="preserve">1.1 </w:t>
      </w:r>
      <w:r>
        <w:rPr>
          <w:rFonts w:hint="eastAsia" w:ascii="宋体" w:hAnsi="宋体" w:eastAsia="宋体" w:cs="宋体"/>
          <w:color w:val="auto"/>
          <w:kern w:val="0"/>
          <w:sz w:val="24"/>
          <w:szCs w:val="28"/>
        </w:rPr>
        <w:t>本技术协议所提出的是最低标准的技术要求，并未对一切技术细节做出规定，也未充分引述有关标准和规范的条文，乙方应保证产品符合有关标准和技术文件</w:t>
      </w:r>
      <w:r>
        <w:rPr>
          <w:rFonts w:hint="eastAsia" w:ascii="宋体" w:hAnsi="宋体" w:eastAsia="宋体" w:cs="宋体"/>
          <w:color w:val="auto"/>
          <w:kern w:val="0"/>
          <w:sz w:val="24"/>
          <w:szCs w:val="28"/>
          <w:lang w:eastAsia="zh-CN"/>
        </w:rPr>
        <w:t>。内容冲突时，以较高的、较严格的标准规范为准。</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eastAsia="zh-CN"/>
        </w:rPr>
      </w:pPr>
      <w:r>
        <w:rPr>
          <w:rFonts w:hint="eastAsia" w:ascii="宋体" w:hAnsi="宋体" w:eastAsia="宋体" w:cs="宋体"/>
          <w:color w:val="auto"/>
          <w:kern w:val="0"/>
          <w:sz w:val="24"/>
          <w:szCs w:val="28"/>
          <w:lang w:val="en-US" w:eastAsia="zh-CN"/>
        </w:rPr>
        <w:t>1.2</w:t>
      </w:r>
      <w:r>
        <w:rPr>
          <w:rFonts w:hint="eastAsia" w:ascii="宋体" w:hAnsi="宋体" w:eastAsia="宋体" w:cs="宋体"/>
          <w:color w:val="auto"/>
          <w:kern w:val="0"/>
          <w:sz w:val="24"/>
          <w:szCs w:val="28"/>
          <w:lang w:eastAsia="zh-CN"/>
        </w:rPr>
        <w:t>产品的制造</w:t>
      </w:r>
      <w:r>
        <w:rPr>
          <w:rFonts w:hint="eastAsia" w:ascii="宋体" w:hAnsi="宋体" w:eastAsia="宋体" w:cs="宋体"/>
          <w:color w:val="auto"/>
          <w:kern w:val="0"/>
          <w:sz w:val="24"/>
          <w:szCs w:val="28"/>
        </w:rPr>
        <w:t>标准和技术规范应为合同签字日为止最新公布发行的标准和技术规范。</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1.3 乙方提供的产品必须具有国内同行业近几年内的先进制造水平，采用先进的工艺、优质的材料、成熟的技术。关键部件制造工艺须通过ISO 9001质量管理体系认证。</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eastAsia="zh-CN"/>
        </w:rPr>
      </w:pPr>
      <w:r>
        <w:rPr>
          <w:rFonts w:hint="eastAsia" w:ascii="宋体" w:hAnsi="宋体" w:eastAsia="宋体" w:cs="宋体"/>
          <w:color w:val="auto"/>
          <w:kern w:val="0"/>
          <w:sz w:val="24"/>
          <w:szCs w:val="28"/>
          <w:lang w:val="en-US" w:eastAsia="zh-CN"/>
        </w:rPr>
        <w:t xml:space="preserve">1.4 </w:t>
      </w:r>
      <w:r>
        <w:rPr>
          <w:rFonts w:hint="eastAsia" w:ascii="宋体" w:hAnsi="宋体" w:eastAsia="宋体" w:cs="宋体"/>
          <w:color w:val="auto"/>
          <w:kern w:val="0"/>
          <w:sz w:val="24"/>
          <w:szCs w:val="28"/>
        </w:rPr>
        <w:t>乙方提供</w:t>
      </w:r>
      <w:r>
        <w:rPr>
          <w:rFonts w:hint="eastAsia" w:ascii="宋体" w:hAnsi="宋体" w:eastAsia="宋体" w:cs="宋体"/>
          <w:color w:val="auto"/>
          <w:kern w:val="0"/>
          <w:sz w:val="24"/>
          <w:szCs w:val="28"/>
          <w:lang w:eastAsia="zh-CN"/>
        </w:rPr>
        <w:t>产品</w:t>
      </w:r>
      <w:r>
        <w:rPr>
          <w:rFonts w:hint="eastAsia" w:ascii="宋体" w:hAnsi="宋体" w:eastAsia="宋体" w:cs="宋体"/>
          <w:color w:val="auto"/>
          <w:kern w:val="0"/>
          <w:sz w:val="24"/>
          <w:szCs w:val="28"/>
        </w:rPr>
        <w:t>的制造</w:t>
      </w:r>
      <w:r>
        <w:rPr>
          <w:rFonts w:hint="eastAsia" w:ascii="宋体" w:hAnsi="宋体" w:eastAsia="宋体" w:cs="宋体"/>
          <w:color w:val="auto"/>
          <w:kern w:val="0"/>
          <w:sz w:val="24"/>
          <w:szCs w:val="28"/>
          <w:lang w:eastAsia="zh-CN"/>
        </w:rPr>
        <w:t>工艺、</w:t>
      </w:r>
      <w:r>
        <w:rPr>
          <w:rFonts w:hint="eastAsia" w:ascii="宋体" w:hAnsi="宋体" w:eastAsia="宋体" w:cs="宋体"/>
          <w:color w:val="auto"/>
          <w:kern w:val="0"/>
          <w:sz w:val="24"/>
          <w:szCs w:val="28"/>
        </w:rPr>
        <w:t>材料的选择</w:t>
      </w:r>
      <w:r>
        <w:rPr>
          <w:rFonts w:hint="eastAsia" w:ascii="宋体" w:hAnsi="宋体" w:eastAsia="宋体" w:cs="宋体"/>
          <w:color w:val="auto"/>
          <w:kern w:val="0"/>
          <w:sz w:val="24"/>
          <w:szCs w:val="28"/>
          <w:lang w:eastAsia="zh-CN"/>
        </w:rPr>
        <w:t>、结构的设计</w:t>
      </w:r>
      <w:r>
        <w:rPr>
          <w:rFonts w:hint="eastAsia" w:ascii="宋体" w:hAnsi="宋体" w:eastAsia="宋体" w:cs="宋体"/>
          <w:color w:val="auto"/>
          <w:kern w:val="0"/>
          <w:sz w:val="24"/>
          <w:szCs w:val="28"/>
        </w:rPr>
        <w:t>，都应按照</w:t>
      </w:r>
      <w:r>
        <w:rPr>
          <w:rFonts w:hint="eastAsia" w:ascii="宋体" w:hAnsi="宋体" w:eastAsia="宋体" w:cs="宋体"/>
          <w:color w:val="auto"/>
          <w:kern w:val="0"/>
          <w:sz w:val="24"/>
          <w:szCs w:val="28"/>
          <w:lang w:eastAsia="zh-CN"/>
        </w:rPr>
        <w:t>不低于</w:t>
      </w:r>
      <w:r>
        <w:rPr>
          <w:rFonts w:hint="eastAsia" w:ascii="宋体" w:hAnsi="宋体" w:eastAsia="宋体" w:cs="宋体"/>
          <w:color w:val="auto"/>
          <w:kern w:val="0"/>
          <w:sz w:val="24"/>
          <w:szCs w:val="28"/>
        </w:rPr>
        <w:t>国内外通用的现行标准和相应的技术规范执行，</w:t>
      </w:r>
      <w:r>
        <w:rPr>
          <w:rFonts w:hint="eastAsia" w:ascii="宋体" w:hAnsi="宋体" w:eastAsia="宋体" w:cs="宋体"/>
          <w:color w:val="auto"/>
          <w:kern w:val="0"/>
          <w:sz w:val="24"/>
          <w:szCs w:val="28"/>
          <w:lang w:eastAsia="zh-CN"/>
        </w:rPr>
        <w:t>鼓励乙方使用高于国家标准、行业标准、团体标准的内部企业标准进行产品制造，这些产品应符合成熟、可靠、先进的基本要求，并经过有效的现场检验。</w:t>
      </w:r>
      <w:r>
        <w:rPr>
          <w:rFonts w:hint="eastAsia" w:ascii="宋体" w:hAnsi="宋体" w:eastAsia="宋体" w:cs="宋体"/>
          <w:color w:val="auto"/>
          <w:kern w:val="0"/>
          <w:sz w:val="24"/>
          <w:szCs w:val="28"/>
          <w:lang w:val="en-US" w:eastAsia="zh-CN"/>
        </w:rPr>
        <w:t>双方本着诚信合作原则，共同推动产品在实际工况中的持续改进与价值提升。</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2.关于乙方制造能力、技术能力</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 xml:space="preserve">2.1 </w:t>
      </w:r>
      <w:r>
        <w:rPr>
          <w:rFonts w:hint="eastAsia" w:ascii="宋体" w:hAnsi="宋体" w:eastAsia="宋体" w:cs="宋体"/>
          <w:color w:val="auto"/>
          <w:kern w:val="0"/>
          <w:sz w:val="24"/>
          <w:szCs w:val="28"/>
        </w:rPr>
        <w:t>乙方须为生产制造型企业，产品的源头制造厂家，不接受非源头制造厂家授权贸易商参与供货，产品必须为原厂自主研发制造，严禁任何形式的贴牌、代工或外协生产，不接受任何形式的贴牌生产或外协加工。乙方使用从外部采购的标准件应征得甲方书面同意，并符合本协议技术要求。</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 xml:space="preserve">2.2 </w:t>
      </w:r>
      <w:r>
        <w:rPr>
          <w:rFonts w:hint="eastAsia" w:ascii="宋体" w:hAnsi="宋体" w:eastAsia="宋体" w:cs="宋体"/>
          <w:color w:val="auto"/>
          <w:kern w:val="0"/>
          <w:sz w:val="24"/>
          <w:szCs w:val="28"/>
        </w:rPr>
        <w:t>乙方应具备完整的研发、设计、制造及质量控制体系（</w:t>
      </w:r>
      <w:r>
        <w:rPr>
          <w:rFonts w:hint="eastAsia" w:ascii="宋体" w:hAnsi="宋体" w:eastAsia="宋体" w:cs="宋体"/>
          <w:color w:val="FF0000"/>
          <w:kern w:val="0"/>
          <w:sz w:val="24"/>
          <w:szCs w:val="28"/>
          <w:highlight w:val="none"/>
        </w:rPr>
        <w:t>通过ISO9001质量管理体系 、ISO14001环境管理体系和ISO45001职业健康安全管理体系三大认证体系</w:t>
      </w:r>
      <w:r>
        <w:rPr>
          <w:rFonts w:hint="eastAsia" w:ascii="宋体" w:hAnsi="宋体" w:eastAsia="宋体" w:cs="宋体"/>
          <w:color w:val="auto"/>
          <w:kern w:val="0"/>
          <w:sz w:val="24"/>
          <w:szCs w:val="28"/>
        </w:rPr>
        <w:t>），拥有独立的生产厂房和专业技术人员，确保产品从原材料采购到成品出厂全过程可控可溯。</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 xml:space="preserve">2.3 </w:t>
      </w:r>
      <w:r>
        <w:rPr>
          <w:rFonts w:hint="eastAsia" w:ascii="宋体" w:hAnsi="宋体" w:eastAsia="宋体" w:cs="宋体"/>
          <w:color w:val="auto"/>
          <w:kern w:val="0"/>
          <w:sz w:val="24"/>
          <w:szCs w:val="28"/>
        </w:rPr>
        <w:t>乙方提供的</w:t>
      </w:r>
      <w:r>
        <w:rPr>
          <w:rFonts w:hint="eastAsia" w:ascii="宋体" w:hAnsi="宋体" w:eastAsia="宋体" w:cs="宋体"/>
          <w:color w:val="auto"/>
          <w:kern w:val="0"/>
          <w:sz w:val="24"/>
          <w:szCs w:val="28"/>
          <w:lang w:eastAsia="zh-CN"/>
        </w:rPr>
        <w:t>产品</w:t>
      </w:r>
      <w:r>
        <w:rPr>
          <w:rFonts w:hint="eastAsia" w:ascii="宋体" w:hAnsi="宋体" w:eastAsia="宋体" w:cs="宋体"/>
          <w:color w:val="auto"/>
          <w:kern w:val="0"/>
          <w:sz w:val="24"/>
          <w:szCs w:val="28"/>
        </w:rPr>
        <w:t>必须是全新、规范、先进的高质量可靠产品，须对</w:t>
      </w:r>
      <w:r>
        <w:rPr>
          <w:rFonts w:hint="eastAsia" w:ascii="宋体" w:hAnsi="宋体" w:eastAsia="宋体" w:cs="宋体"/>
          <w:color w:val="auto"/>
          <w:kern w:val="0"/>
          <w:sz w:val="24"/>
          <w:szCs w:val="28"/>
          <w:lang w:eastAsia="zh-CN"/>
        </w:rPr>
        <w:t>产品</w:t>
      </w:r>
      <w:r>
        <w:rPr>
          <w:rFonts w:hint="eastAsia" w:ascii="宋体" w:hAnsi="宋体" w:eastAsia="宋体" w:cs="宋体"/>
          <w:color w:val="auto"/>
          <w:kern w:val="0"/>
          <w:sz w:val="24"/>
          <w:szCs w:val="28"/>
        </w:rPr>
        <w:t>的完整性、合理性和设计质量承担全部责任</w:t>
      </w:r>
      <w:r>
        <w:rPr>
          <w:rFonts w:hint="eastAsia" w:ascii="宋体" w:hAnsi="宋体" w:eastAsia="宋体" w:cs="宋体"/>
          <w:color w:val="auto"/>
          <w:kern w:val="0"/>
          <w:sz w:val="24"/>
          <w:szCs w:val="28"/>
          <w:lang w:eastAsia="zh-CN"/>
        </w:rPr>
        <w:t>，满足设备产品产能、质量及工况要求，</w:t>
      </w:r>
      <w:r>
        <w:rPr>
          <w:rFonts w:hint="eastAsia" w:ascii="宋体" w:hAnsi="宋体" w:eastAsia="宋体" w:cs="宋体"/>
          <w:color w:val="auto"/>
          <w:kern w:val="0"/>
          <w:sz w:val="24"/>
          <w:szCs w:val="28"/>
          <w:lang w:val="en-US" w:eastAsia="zh-CN"/>
        </w:rPr>
        <w:t>确保设备在高负荷连续工况下运行稳定、高效。</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2.4 严禁以任何形式提供假冒伪劣产品或偷工减料，一经发现，甲方有权立即终止合同，并追究乙方由此造成的一切经济损失与法律责任。</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2.5 乙方须建立完善的质量追溯体系，确保每批次产品从原材料入库、加工工艺到出厂检验全过程记录真实、完整、可查。建立关键原材料采购、关键生产工艺参数、关键中间环节质量检验、关键部件溯源清单等档案，符合质量溯源管理要求，确保全生命周期管理。</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2.6 乙方有义务配合甲方对资质、业绩、技术能力、装备水平、制造过程进行动态审查，包括但不限于资料查验、官方网站查询、产品最终用户现场考察等形式，甲方保留对乙方生产现场进行实地核查的权利。若发现与本协议、投标承诺不符，甲方有权终止合作并追索损失。</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3.关于产品质量</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3.1 乙方须对甲方所采购产品的使用环境、工况条件、安装尺寸进行现场确认，保障供货产品完全满足现场使用要求。提供的产品外形尺寸要符合甲方安装空间、不低于国家标准规范相关要求；提供的产品材质要满足甲方使用环境、保障设备原有性能和使用周期。若到货产品不能安装或更换，乙方承担全部责任。</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3.2 凡涉及产品升级或工艺改进，乙方须第一时间通知甲方，并提供技术论证与实施方案。所有技术更新不得降低原有性能指标，且需通过第三方权威机构验证。</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3.3 乙方提供产品质量保证书，对所提供的设备实施全生命周期质量跟踪服务，质量保证期不低于本协议要求的使用寿命，产品使用寿命自设备验收合格之日起计算。质量承诺不因合同履行完毕而终止，其效力延续至产品生命周期终结。乙方须确保所供产品在全生命周期内持续符合国家及行业最新标准，并接受甲方在使用过程中的监督与抽检。乙方须在设备运行期间提供全周期技术支持，定期提交产品运行分析报告，配合甲方完成关键部件的寿命评估与预测性维护。</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3.4 产品使用过程中出现质量问题时，甲方有权采取委托独立第三方对产品进行包括不限于物理性能、化学成分检验、失效分析等复检手段查明出现质量问题的根本原因，乙方应认可第三方检验报告的结论，第三方检测费用由乙方承担。乙方依据第三方检验报告，按甲方要求提供分析报告，包括质量溯源分析、改进措施，分析报告须由单位法人签字并盖公章。</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4.其他</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 xml:space="preserve">4.1 </w:t>
      </w:r>
      <w:r>
        <w:rPr>
          <w:rFonts w:hint="eastAsia" w:ascii="宋体" w:hAnsi="宋体" w:eastAsia="宋体" w:cs="宋体"/>
          <w:color w:val="auto"/>
          <w:kern w:val="0"/>
          <w:sz w:val="24"/>
          <w:szCs w:val="28"/>
          <w:lang w:eastAsia="zh-CN"/>
        </w:rPr>
        <w:t>乙方在产品设计、制造中发生侵犯专利的行为时，其侵权责任与甲方无关。</w:t>
      </w:r>
      <w:r>
        <w:rPr>
          <w:rFonts w:hint="eastAsia" w:ascii="宋体" w:hAnsi="宋体" w:eastAsia="宋体" w:cs="宋体"/>
          <w:color w:val="auto"/>
          <w:kern w:val="0"/>
          <w:sz w:val="24"/>
          <w:szCs w:val="28"/>
          <w:lang w:val="en-US" w:eastAsia="zh-CN"/>
        </w:rPr>
        <w:t>甲方使用乙方提供的产品及服务时免受第三方提出的侵犯其专利权或其它知识产权的起诉。如果第三方提出侵权指控，乙方应承担由此而引起的一切法律责任和费用。</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4.2 乙方应提供不低于符合本协议的近3年内至少5项成功应用业绩材料，并附用户反馈报告。</w:t>
      </w:r>
      <w:r>
        <w:rPr>
          <w:rFonts w:hint="eastAsia" w:ascii="宋体" w:hAnsi="宋体" w:eastAsia="宋体" w:cs="宋体"/>
          <w:color w:val="FF0000"/>
          <w:kern w:val="0"/>
          <w:sz w:val="24"/>
          <w:szCs w:val="28"/>
          <w:lang w:val="en-US" w:eastAsia="zh-CN"/>
        </w:rPr>
        <w:t>业绩材料应符合以下要求：（1）应用在铁矿石选矿厂；（2）年处理量400万吨以上；（3）提供供货合同、技术协议、供货发票、原材料采购合同及发票。</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4.3 乙方承诺提供的所有资料真实、有效、完整、可验证，若提供虚假资料或隐瞒技术缺陷，一经发现，乙方须承担由此引起的一切经济与法律责任，并赔偿甲方因此遭受的全部损失。</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4.4 招标前，乙方应与甲方进行技术交流，呈报不低于本协议要求的证明材料，确保符合甲方技术要求，双方签标前技术协议。</w:t>
      </w:r>
    </w:p>
    <w:p>
      <w:pPr>
        <w:numPr>
          <w:ilvl w:val="0"/>
          <w:numId w:val="1"/>
        </w:numPr>
        <w:adjustRightInd w:val="0"/>
        <w:snapToGrid w:val="0"/>
        <w:spacing w:line="360" w:lineRule="auto"/>
        <w:ind w:right="-15"/>
        <w:jc w:val="left"/>
        <w:textAlignment w:val="baseline"/>
        <w:rPr>
          <w:rFonts w:hint="eastAsia" w:ascii="宋体" w:hAnsi="宋体" w:eastAsia="宋体" w:cs="宋体"/>
          <w:b/>
          <w:bCs/>
          <w:color w:val="auto"/>
          <w:kern w:val="0"/>
          <w:sz w:val="24"/>
          <w:szCs w:val="28"/>
          <w:lang w:val="en-US" w:eastAsia="zh-CN"/>
        </w:rPr>
      </w:pPr>
      <w:r>
        <w:rPr>
          <w:rFonts w:hint="eastAsia" w:ascii="宋体" w:hAnsi="宋体" w:eastAsia="宋体" w:cs="宋体"/>
          <w:b/>
          <w:bCs/>
          <w:color w:val="auto"/>
          <w:kern w:val="0"/>
          <w:sz w:val="24"/>
          <w:szCs w:val="28"/>
          <w:lang w:val="en-US" w:eastAsia="zh-CN"/>
        </w:rPr>
        <w:t>制造要求</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1. 使用环境</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1.1 环境条件</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最高温度：         38.4℃</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最低温度：         -31.6℃</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夏季最高平均温度： 28.7℃</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冬季最低平均温度： -15.6℃</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日最大温差：       14℃</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年平均温度：       7.3℃</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相对湿度：         46%</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夏季平均湿度：     52%</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冬季平均湿度：     55%</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海拔高度           1614～1620m</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1.2厂址位置：甘肃省嘉峪关市酒钢厂区</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2.产品使用工况</w:t>
      </w:r>
    </w:p>
    <w:p>
      <w:pPr>
        <w:keepNext w:val="0"/>
        <w:keepLines w:val="0"/>
        <w:widowControl/>
        <w:suppressLineNumbers w:val="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2.1  设备用途：</w:t>
      </w:r>
      <w:r>
        <w:rPr>
          <w:rFonts w:ascii="宋体" w:hAnsi="宋体" w:eastAsia="宋体" w:cs="宋体"/>
          <w:snapToGrid w:val="0"/>
          <w:color w:val="000000"/>
          <w:kern w:val="0"/>
          <w:sz w:val="24"/>
          <w:szCs w:val="24"/>
          <w:lang w:val="en-US" w:eastAsia="zh-CN" w:bidi="ar"/>
        </w:rPr>
        <w:t>设备名称：美卓 VPA™ 系列压滤机用胶垫</w:t>
      </w:r>
    </w:p>
    <w:p>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2.2  </w:t>
      </w:r>
      <w:r>
        <w:rPr>
          <w:rFonts w:ascii="宋体" w:hAnsi="宋体" w:eastAsia="宋体" w:cs="宋体"/>
          <w:snapToGrid w:val="0"/>
          <w:color w:val="000000"/>
          <w:kern w:val="0"/>
          <w:sz w:val="24"/>
          <w:szCs w:val="24"/>
          <w:lang w:val="en-US" w:eastAsia="zh-CN" w:bidi="ar"/>
        </w:rPr>
        <w:t>设备形式：VPA 系列自动隔膜压滤机，滤板材质通常为优质聚丙烯，通过滤板和隔膜胶垫形成滤室</w:t>
      </w:r>
    </w:p>
    <w:p>
      <w:pPr>
        <w:keepNext w:val="0"/>
        <w:keepLines w:val="0"/>
        <w:widowControl/>
        <w:suppressLineNumbers w:val="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2.3  </w:t>
      </w:r>
      <w:r>
        <w:rPr>
          <w:rFonts w:ascii="宋体" w:hAnsi="宋体" w:eastAsia="宋体" w:cs="宋体"/>
          <w:snapToGrid w:val="0"/>
          <w:color w:val="000000"/>
          <w:kern w:val="0"/>
          <w:sz w:val="24"/>
          <w:szCs w:val="24"/>
          <w:lang w:val="en-US" w:eastAsia="zh-CN" w:bidi="ar"/>
        </w:rPr>
        <w:t>过滤介质：金属矿浆类似固液混合物。</w:t>
      </w: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2.4  矿浆粒度：-400目</w:t>
      </w:r>
    </w:p>
    <w:p>
      <w:pPr>
        <w:keepNext w:val="0"/>
        <w:keepLines w:val="0"/>
        <w:widowControl/>
        <w:suppressLineNumbers w:val="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2.5  </w:t>
      </w:r>
      <w:r>
        <w:rPr>
          <w:rFonts w:ascii="宋体" w:hAnsi="宋体" w:eastAsia="宋体" w:cs="宋体"/>
          <w:snapToGrid w:val="0"/>
          <w:color w:val="000000"/>
          <w:kern w:val="0"/>
          <w:sz w:val="24"/>
          <w:szCs w:val="24"/>
          <w:lang w:val="en-US" w:eastAsia="zh-CN" w:bidi="ar"/>
        </w:rPr>
        <w:t>介质温度：</w:t>
      </w:r>
      <w:r>
        <w:rPr>
          <w:rFonts w:hint="eastAsia" w:ascii="宋体" w:hAnsi="宋体" w:eastAsia="宋体" w:cs="宋体"/>
          <w:snapToGrid w:val="0"/>
          <w:color w:val="000000"/>
          <w:kern w:val="0"/>
          <w:sz w:val="24"/>
          <w:szCs w:val="24"/>
          <w:lang w:val="en-US" w:eastAsia="zh-CN" w:bidi="ar"/>
        </w:rPr>
        <w:t>5</w:t>
      </w:r>
      <w:r>
        <w:rPr>
          <w:rFonts w:ascii="宋体" w:hAnsi="宋体" w:eastAsia="宋体" w:cs="宋体"/>
          <w:snapToGrid w:val="0"/>
          <w:color w:val="000000"/>
          <w:kern w:val="0"/>
          <w:sz w:val="24"/>
          <w:szCs w:val="24"/>
          <w:lang w:val="en-US" w:eastAsia="zh-CN" w:bidi="ar"/>
        </w:rPr>
        <w:t xml:space="preserve"> ℃ ～ </w:t>
      </w:r>
      <w:r>
        <w:rPr>
          <w:rFonts w:hint="eastAsia" w:ascii="宋体" w:hAnsi="宋体" w:eastAsia="宋体" w:cs="宋体"/>
          <w:snapToGrid w:val="0"/>
          <w:color w:val="000000"/>
          <w:kern w:val="0"/>
          <w:sz w:val="24"/>
          <w:szCs w:val="24"/>
          <w:lang w:val="en-US" w:eastAsia="zh-CN" w:bidi="ar"/>
        </w:rPr>
        <w:t>30</w:t>
      </w:r>
      <w:r>
        <w:rPr>
          <w:rFonts w:ascii="宋体" w:hAnsi="宋体" w:eastAsia="宋体" w:cs="宋体"/>
          <w:snapToGrid w:val="0"/>
          <w:color w:val="000000"/>
          <w:kern w:val="0"/>
          <w:sz w:val="24"/>
          <w:szCs w:val="24"/>
          <w:lang w:val="en-US" w:eastAsia="zh-CN" w:bidi="ar"/>
        </w:rPr>
        <w:t xml:space="preserve"> ℃</w:t>
      </w:r>
    </w:p>
    <w:p>
      <w:pPr>
        <w:keepNext w:val="0"/>
        <w:keepLines w:val="0"/>
        <w:widowControl/>
        <w:suppressLineNumbers w:val="0"/>
        <w:jc w:val="left"/>
        <w:rPr>
          <w:highlight w:val="yellow"/>
        </w:rPr>
      </w:pPr>
      <w:r>
        <w:rPr>
          <w:rFonts w:hint="eastAsia" w:ascii="宋体" w:hAnsi="宋体" w:eastAsia="宋体" w:cs="宋体"/>
          <w:snapToGrid w:val="0"/>
          <w:color w:val="000000"/>
          <w:kern w:val="0"/>
          <w:sz w:val="24"/>
          <w:szCs w:val="24"/>
          <w:highlight w:val="yellow"/>
          <w:lang w:val="en-US" w:eastAsia="zh-CN" w:bidi="ar"/>
        </w:rPr>
        <w:t xml:space="preserve">2.6  </w:t>
      </w:r>
      <w:r>
        <w:rPr>
          <w:rFonts w:ascii="宋体" w:hAnsi="宋体" w:eastAsia="宋体" w:cs="宋体"/>
          <w:snapToGrid w:val="0"/>
          <w:color w:val="000000"/>
          <w:kern w:val="0"/>
          <w:sz w:val="24"/>
          <w:szCs w:val="24"/>
          <w:highlight w:val="yellow"/>
          <w:lang w:val="en-US" w:eastAsia="zh-CN" w:bidi="ar"/>
        </w:rPr>
        <w:t>介质 pH 值：X ～ X</w:t>
      </w:r>
    </w:p>
    <w:p>
      <w:pPr>
        <w:keepNext w:val="0"/>
        <w:keepLines w:val="0"/>
        <w:widowControl/>
        <w:suppressLineNumbers w:val="0"/>
        <w:jc w:val="left"/>
        <w:rPr>
          <w:rFonts w:ascii="宋体" w:hAnsi="宋体" w:eastAsia="宋体" w:cs="宋体"/>
          <w:b w:val="0"/>
          <w:bCs w:val="0"/>
          <w:snapToGrid w:val="0"/>
          <w:color w:val="000000"/>
          <w:kern w:val="0"/>
          <w:sz w:val="24"/>
          <w:szCs w:val="24"/>
          <w:lang w:val="en-US" w:eastAsia="zh-CN" w:bidi="ar"/>
        </w:rPr>
      </w:pPr>
      <w:r>
        <w:rPr>
          <w:rFonts w:hint="eastAsia" w:ascii="宋体" w:hAnsi="宋体" w:eastAsia="宋体" w:cs="宋体"/>
          <w:b w:val="0"/>
          <w:bCs w:val="0"/>
          <w:snapToGrid w:val="0"/>
          <w:color w:val="000000"/>
          <w:kern w:val="0"/>
          <w:sz w:val="24"/>
          <w:szCs w:val="24"/>
          <w:lang w:val="en-US" w:eastAsia="zh-CN" w:bidi="ar"/>
        </w:rPr>
        <w:t xml:space="preserve">2.7  </w:t>
      </w:r>
      <w:r>
        <w:rPr>
          <w:rFonts w:ascii="宋体" w:hAnsi="宋体" w:eastAsia="宋体" w:cs="宋体"/>
          <w:b w:val="0"/>
          <w:bCs w:val="0"/>
          <w:snapToGrid w:val="0"/>
          <w:color w:val="000000"/>
          <w:kern w:val="0"/>
          <w:sz w:val="24"/>
          <w:szCs w:val="24"/>
          <w:lang w:val="en-US" w:eastAsia="zh-CN" w:bidi="ar"/>
        </w:rPr>
        <w:t>过滤压力：≤ 0.</w:t>
      </w:r>
      <w:r>
        <w:rPr>
          <w:rFonts w:hint="eastAsia" w:ascii="宋体" w:hAnsi="宋体" w:eastAsia="宋体" w:cs="宋体"/>
          <w:b w:val="0"/>
          <w:bCs w:val="0"/>
          <w:snapToGrid w:val="0"/>
          <w:color w:val="000000"/>
          <w:kern w:val="0"/>
          <w:sz w:val="24"/>
          <w:szCs w:val="24"/>
          <w:lang w:val="en-US" w:eastAsia="zh-CN" w:bidi="ar"/>
        </w:rPr>
        <w:t>1</w:t>
      </w:r>
      <w:r>
        <w:rPr>
          <w:rFonts w:ascii="宋体" w:hAnsi="宋体" w:eastAsia="宋体" w:cs="宋体"/>
          <w:b w:val="0"/>
          <w:bCs w:val="0"/>
          <w:snapToGrid w:val="0"/>
          <w:color w:val="000000"/>
          <w:kern w:val="0"/>
          <w:sz w:val="24"/>
          <w:szCs w:val="24"/>
          <w:lang w:val="en-US" w:eastAsia="zh-CN" w:bidi="ar"/>
        </w:rPr>
        <w:t xml:space="preserve"> MPa</w:t>
      </w:r>
    </w:p>
    <w:p>
      <w:pPr>
        <w:keepNext w:val="0"/>
        <w:keepLines w:val="0"/>
        <w:widowControl/>
        <w:suppressLineNumbers w:val="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b w:val="0"/>
          <w:bCs w:val="0"/>
          <w:snapToGrid w:val="0"/>
          <w:color w:val="000000"/>
          <w:kern w:val="0"/>
          <w:sz w:val="24"/>
          <w:szCs w:val="24"/>
          <w:lang w:val="en-US" w:eastAsia="zh-CN" w:bidi="ar"/>
        </w:rPr>
        <w:t xml:space="preserve">2.8  </w:t>
      </w:r>
      <w:r>
        <w:rPr>
          <w:rFonts w:ascii="宋体" w:hAnsi="宋体" w:eastAsia="宋体" w:cs="宋体"/>
          <w:snapToGrid w:val="0"/>
          <w:color w:val="000000"/>
          <w:kern w:val="0"/>
          <w:sz w:val="24"/>
          <w:szCs w:val="24"/>
          <w:lang w:val="en-US" w:eastAsia="zh-CN" w:bidi="ar"/>
        </w:rPr>
        <w:t>压榨压力：隔膜胶垫受压 0.6～1.0 MPa</w:t>
      </w:r>
    </w:p>
    <w:p>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2.9  </w:t>
      </w:r>
      <w:r>
        <w:rPr>
          <w:rFonts w:ascii="宋体" w:hAnsi="宋体" w:eastAsia="宋体" w:cs="宋体"/>
          <w:snapToGrid w:val="0"/>
          <w:color w:val="000000"/>
          <w:kern w:val="0"/>
          <w:sz w:val="24"/>
          <w:szCs w:val="24"/>
          <w:lang w:val="en-US" w:eastAsia="zh-CN" w:bidi="ar"/>
        </w:rPr>
        <w:t>空气吹扫压力：0.5～0.8 MPa</w:t>
      </w:r>
    </w:p>
    <w:p>
      <w:pPr>
        <w:keepNext w:val="0"/>
        <w:keepLines w:val="0"/>
        <w:widowControl/>
        <w:suppressLineNumbers w:val="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2.10 </w:t>
      </w:r>
      <w:r>
        <w:rPr>
          <w:rFonts w:ascii="宋体" w:hAnsi="宋体" w:eastAsia="宋体" w:cs="宋体"/>
          <w:snapToGrid w:val="0"/>
          <w:color w:val="000000"/>
          <w:kern w:val="0"/>
          <w:sz w:val="24"/>
          <w:szCs w:val="24"/>
          <w:lang w:val="en-US" w:eastAsia="zh-CN" w:bidi="ar"/>
        </w:rPr>
        <w:t>安装方式：水平安装，滤室由聚丙烯滤板构成，胶垫置于滤板密封面之间或作为隔膜使用。</w:t>
      </w:r>
    </w:p>
    <w:p>
      <w:pPr>
        <w:keepNext w:val="0"/>
        <w:keepLines w:val="0"/>
        <w:widowControl/>
        <w:suppressLineNumbers w:val="0"/>
        <w:jc w:val="left"/>
        <w:rPr>
          <w:rFonts w:ascii="宋体" w:hAnsi="宋体" w:eastAsia="宋体" w:cs="宋体"/>
          <w:snapToGrid w:val="0"/>
          <w:color w:val="000000"/>
          <w:kern w:val="0"/>
          <w:sz w:val="24"/>
          <w:szCs w:val="24"/>
          <w:lang w:val="en-US" w:eastAsia="zh-CN" w:bidi="ar"/>
        </w:rPr>
      </w:pPr>
    </w:p>
    <w:p>
      <w:pPr>
        <w:adjustRightInd w:val="0"/>
        <w:snapToGrid w:val="0"/>
        <w:spacing w:line="360" w:lineRule="auto"/>
        <w:ind w:right="-15" w:firstLine="720" w:firstLineChars="300"/>
        <w:jc w:val="left"/>
        <w:textAlignment w:val="baseline"/>
        <w:rPr>
          <w:rFonts w:hint="default"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3、制造标准</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3.1 依据供货厂家相关标准、技术要求及加工工艺，不低于以下标准相关要求：</w:t>
      </w:r>
    </w:p>
    <w:p>
      <w:pPr>
        <w:adjustRightInd w:val="0"/>
        <w:snapToGrid w:val="0"/>
        <w:spacing w:line="360" w:lineRule="auto"/>
        <w:ind w:right="-15" w:firstLine="600" w:firstLineChars="250"/>
        <w:jc w:val="left"/>
        <w:textAlignment w:val="baseline"/>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1)</w:t>
      </w:r>
      <w:r>
        <w:rPr>
          <w:rFonts w:ascii="宋体" w:hAnsi="宋体" w:eastAsia="宋体" w:cs="宋体"/>
          <w:snapToGrid w:val="0"/>
          <w:color w:val="000000"/>
          <w:kern w:val="0"/>
          <w:sz w:val="24"/>
          <w:szCs w:val="24"/>
          <w:lang w:val="en-US" w:eastAsia="zh-CN" w:bidi="ar"/>
        </w:rPr>
        <w:t>引用标准清单 GB/T 528 硫化橡胶或热塑性橡胶 拉伸应力-应变性能的测定 GB/T 529 硫化橡胶或热塑性橡胶 撕裂强度的测定（裤形、直角形和新月形试样）</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2)</w:t>
      </w:r>
      <w:r>
        <w:rPr>
          <w:rFonts w:ascii="宋体" w:hAnsi="宋体" w:eastAsia="宋体" w:cs="宋体"/>
          <w:snapToGrid w:val="0"/>
          <w:color w:val="000000"/>
          <w:kern w:val="0"/>
          <w:sz w:val="24"/>
          <w:szCs w:val="24"/>
          <w:lang w:val="en-US" w:eastAsia="zh-CN" w:bidi="ar"/>
        </w:rPr>
        <w:t>GB/T 531.1 硫化橡胶或热塑性橡胶 压入硬度试验方法 第 1 部分：邵氏硬度计法（邵氏 A）</w:t>
      </w:r>
    </w:p>
    <w:p>
      <w:pPr>
        <w:adjustRightInd w:val="0"/>
        <w:snapToGrid w:val="0"/>
        <w:spacing w:line="360" w:lineRule="auto"/>
        <w:ind w:right="-15" w:firstLine="600" w:firstLineChars="250"/>
        <w:jc w:val="left"/>
        <w:textAlignment w:val="baseline"/>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3)</w:t>
      </w:r>
      <w:r>
        <w:rPr>
          <w:rFonts w:ascii="宋体" w:hAnsi="宋体" w:eastAsia="宋体" w:cs="宋体"/>
          <w:snapToGrid w:val="0"/>
          <w:color w:val="000000"/>
          <w:kern w:val="0"/>
          <w:sz w:val="24"/>
          <w:szCs w:val="24"/>
          <w:lang w:val="en-US" w:eastAsia="zh-CN" w:bidi="ar"/>
        </w:rPr>
        <w:t xml:space="preserve">GB/T 1690 硫化橡胶或热塑性橡胶 耐液体试验方法 GB/T 7762 硫化橡胶或热塑性橡胶 耐臭氧龟裂静态拉伸试验 </w:t>
      </w:r>
    </w:p>
    <w:p>
      <w:pPr>
        <w:numPr>
          <w:ilvl w:val="0"/>
          <w:numId w:val="2"/>
        </w:num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技术要求</w:t>
      </w:r>
    </w:p>
    <w:p>
      <w:pPr>
        <w:keepNext w:val="0"/>
        <w:keepLines w:val="0"/>
        <w:widowControl/>
        <w:suppressLineNumbers w:val="0"/>
        <w:jc w:val="left"/>
      </w:pPr>
      <w:r>
        <w:rPr>
          <w:rFonts w:hint="eastAsia" w:ascii="宋体" w:hAnsi="宋体" w:eastAsia="宋体" w:cs="宋体"/>
          <w:color w:val="auto"/>
          <w:kern w:val="0"/>
          <w:sz w:val="24"/>
          <w:szCs w:val="28"/>
          <w:lang w:val="en-US" w:eastAsia="zh-CN"/>
        </w:rPr>
        <w:t>4.1</w:t>
      </w:r>
      <w:r>
        <w:rPr>
          <w:rFonts w:ascii="宋体" w:hAnsi="宋体" w:eastAsia="宋体" w:cs="宋体"/>
          <w:snapToGrid w:val="0"/>
          <w:color w:val="000000"/>
          <w:kern w:val="0"/>
          <w:sz w:val="24"/>
          <w:szCs w:val="24"/>
          <w:lang w:val="en-US" w:eastAsia="zh-CN" w:bidi="ar"/>
        </w:rPr>
        <w:t>材料与结构</w:t>
      </w:r>
    </w:p>
    <w:p>
      <w:pPr>
        <w:keepNext w:val="0"/>
        <w:keepLines w:val="0"/>
        <w:widowControl/>
        <w:numPr>
          <w:ilvl w:val="0"/>
          <w:numId w:val="0"/>
        </w:numPr>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1)</w:t>
      </w:r>
      <w:r>
        <w:rPr>
          <w:rFonts w:ascii="宋体" w:hAnsi="宋体" w:eastAsia="宋体" w:cs="宋体"/>
          <w:snapToGrid w:val="0"/>
          <w:color w:val="000000"/>
          <w:kern w:val="0"/>
          <w:sz w:val="24"/>
          <w:szCs w:val="24"/>
          <w:lang w:val="en-US" w:eastAsia="zh-CN" w:bidi="ar"/>
        </w:rPr>
        <w:t xml:space="preserve">主体材料应为氯丁橡胶（CR） 橡胶材料应符合相应国家标准或行业标准，禁止使用再生胶或回收料。 </w:t>
      </w:r>
    </w:p>
    <w:p>
      <w:pPr>
        <w:keepNext w:val="0"/>
        <w:keepLines w:val="0"/>
        <w:widowControl/>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2)</w:t>
      </w:r>
      <w:r>
        <w:rPr>
          <w:rFonts w:ascii="宋体" w:hAnsi="宋体" w:eastAsia="宋体" w:cs="宋体"/>
          <w:snapToGrid w:val="0"/>
          <w:color w:val="000000"/>
          <w:kern w:val="0"/>
          <w:sz w:val="24"/>
          <w:szCs w:val="24"/>
          <w:lang w:val="en-US" w:eastAsia="zh-CN" w:bidi="ar"/>
        </w:rPr>
        <w:t xml:space="preserve">增强层： 胶垫内部应采用纤维织物或帘布层增强，以提高耐压和抗撕裂性能。 增强层材料应耐油、耐酸碱、耐温，并与橡胶有良好的粘结性。 </w:t>
      </w:r>
    </w:p>
    <w:p>
      <w:pPr>
        <w:keepNext w:val="0"/>
        <w:keepLines w:val="0"/>
        <w:widowControl/>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3)</w:t>
      </w:r>
      <w:r>
        <w:rPr>
          <w:rFonts w:ascii="宋体" w:hAnsi="宋体" w:eastAsia="宋体" w:cs="宋体"/>
          <w:snapToGrid w:val="0"/>
          <w:color w:val="000000"/>
          <w:kern w:val="0"/>
          <w:sz w:val="24"/>
          <w:szCs w:val="24"/>
          <w:lang w:val="en-US" w:eastAsia="zh-CN" w:bidi="ar"/>
        </w:rPr>
        <w:t xml:space="preserve">结构形式： 滤室胶垫：整体环形，截面为矩形，与滤板密封面配合。 </w:t>
      </w:r>
    </w:p>
    <w:p>
      <w:pPr>
        <w:keepNext w:val="0"/>
        <w:keepLines w:val="0"/>
        <w:widowControl/>
        <w:suppressLineNumbers w:val="0"/>
        <w:ind w:firstLine="480" w:firstLineChars="200"/>
        <w:jc w:val="left"/>
      </w:pPr>
      <w:r>
        <w:rPr>
          <w:rFonts w:hint="eastAsia" w:ascii="宋体" w:hAnsi="宋体" w:eastAsia="宋体" w:cs="宋体"/>
          <w:color w:val="auto"/>
          <w:kern w:val="0"/>
          <w:sz w:val="24"/>
          <w:szCs w:val="28"/>
          <w:lang w:val="en-US" w:eastAsia="zh-CN"/>
        </w:rPr>
        <w:t>4)</w:t>
      </w:r>
      <w:r>
        <w:rPr>
          <w:rFonts w:ascii="宋体" w:hAnsi="宋体" w:eastAsia="宋体" w:cs="宋体"/>
          <w:snapToGrid w:val="0"/>
          <w:color w:val="000000"/>
          <w:kern w:val="0"/>
          <w:sz w:val="24"/>
          <w:szCs w:val="24"/>
          <w:lang w:val="en-US" w:eastAsia="zh-CN" w:bidi="ar"/>
        </w:rPr>
        <w:t>胶垫：在滤室胶垫基础上增加可鼓胀的隔膜部分，鼓胀方向应与设备设计一致。 胶垫表面应平整，无气泡、裂纹、杂质、缺胶等缺陷。 颜色：一般为黑色，</w:t>
      </w:r>
    </w:p>
    <w:p>
      <w:pPr>
        <w:keepNext w:val="0"/>
        <w:keepLines w:val="0"/>
        <w:widowControl/>
        <w:suppressLineNumbers w:val="0"/>
        <w:ind w:firstLine="420" w:firstLineChars="200"/>
        <w:jc w:val="left"/>
      </w:pPr>
    </w:p>
    <w:p>
      <w:pPr>
        <w:keepNext w:val="0"/>
        <w:keepLines w:val="0"/>
        <w:widowControl/>
        <w:suppressLineNumbers w:val="0"/>
        <w:jc w:val="left"/>
        <w:rPr>
          <w:rFonts w:ascii="宋体" w:hAnsi="宋体" w:eastAsia="宋体" w:cs="宋体"/>
          <w:snapToGrid w:val="0"/>
          <w:color w:val="000000"/>
          <w:kern w:val="0"/>
          <w:sz w:val="24"/>
          <w:szCs w:val="24"/>
          <w:lang w:val="en-US" w:eastAsia="zh-CN" w:bidi="ar"/>
        </w:rPr>
      </w:pPr>
      <w:r>
        <w:rPr>
          <w:rFonts w:ascii="宋体" w:hAnsi="宋体" w:eastAsia="宋体" w:cs="宋体"/>
          <w:snapToGrid w:val="0"/>
          <w:color w:val="000000"/>
          <w:kern w:val="0"/>
          <w:sz w:val="24"/>
          <w:szCs w:val="24"/>
          <w:lang w:val="en-US" w:eastAsia="zh-CN" w:bidi="ar"/>
        </w:rPr>
        <w:t>4.</w:t>
      </w:r>
      <w:r>
        <w:rPr>
          <w:rFonts w:hint="eastAsia" w:ascii="宋体" w:hAnsi="宋体" w:eastAsia="宋体" w:cs="宋体"/>
          <w:snapToGrid w:val="0"/>
          <w:color w:val="000000"/>
          <w:kern w:val="0"/>
          <w:sz w:val="24"/>
          <w:szCs w:val="24"/>
          <w:lang w:val="en-US" w:eastAsia="zh-CN" w:bidi="ar"/>
        </w:rPr>
        <w:t>2</w:t>
      </w:r>
      <w:r>
        <w:rPr>
          <w:rFonts w:ascii="宋体" w:hAnsi="宋体" w:eastAsia="宋体" w:cs="宋体"/>
          <w:snapToGrid w:val="0"/>
          <w:color w:val="000000"/>
          <w:kern w:val="0"/>
          <w:sz w:val="24"/>
          <w:szCs w:val="24"/>
          <w:lang w:val="en-US" w:eastAsia="zh-CN" w:bidi="ar"/>
        </w:rPr>
        <w:t xml:space="preserve"> 外形与安装尺寸</w:t>
      </w:r>
    </w:p>
    <w:p>
      <w:pPr>
        <w:keepNext w:val="0"/>
        <w:keepLines w:val="0"/>
        <w:widowControl/>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1)</w:t>
      </w:r>
      <w:r>
        <w:rPr>
          <w:rFonts w:ascii="宋体" w:hAnsi="宋体" w:eastAsia="宋体" w:cs="宋体"/>
          <w:snapToGrid w:val="0"/>
          <w:color w:val="000000"/>
          <w:kern w:val="0"/>
          <w:sz w:val="24"/>
          <w:szCs w:val="24"/>
          <w:lang w:val="en-US" w:eastAsia="zh-CN" w:bidi="ar"/>
        </w:rPr>
        <w:t xml:space="preserve">胶垫的外径、内径、厚度、截面形状等尺寸须与买方提供的美卓设备图纸完全一致。 尺寸公差： 外径/内径：按图纸公差执行，一般控制在 ±1.0 mm 以内。 </w:t>
      </w:r>
    </w:p>
    <w:p>
      <w:pPr>
        <w:keepNext w:val="0"/>
        <w:keepLines w:val="0"/>
        <w:widowControl/>
        <w:suppressLineNumbers w:val="0"/>
        <w:ind w:firstLine="480" w:firstLineChars="200"/>
        <w:jc w:val="left"/>
      </w:pPr>
      <w:r>
        <w:rPr>
          <w:rFonts w:hint="eastAsia" w:ascii="宋体" w:hAnsi="宋体" w:eastAsia="宋体" w:cs="宋体"/>
          <w:color w:val="auto"/>
          <w:kern w:val="0"/>
          <w:sz w:val="24"/>
          <w:szCs w:val="28"/>
          <w:lang w:val="en-US" w:eastAsia="zh-CN"/>
        </w:rPr>
        <w:t>2)</w:t>
      </w:r>
      <w:r>
        <w:rPr>
          <w:rFonts w:ascii="宋体" w:hAnsi="宋体" w:eastAsia="宋体" w:cs="宋体"/>
          <w:snapToGrid w:val="0"/>
          <w:color w:val="000000"/>
          <w:kern w:val="0"/>
          <w:sz w:val="24"/>
          <w:szCs w:val="24"/>
          <w:lang w:val="en-US" w:eastAsia="zh-CN" w:bidi="ar"/>
        </w:rPr>
        <w:t>厚度：按图纸公差执行，一般控制在 ±0.5 mm 以内。 同轴度/圆度</w:t>
      </w:r>
      <w:r>
        <w:rPr>
          <w:rFonts w:hint="eastAsia" w:ascii="宋体" w:hAnsi="宋体" w:eastAsia="宋体" w:cs="宋体"/>
          <w:snapToGrid w:val="0"/>
          <w:color w:val="000000"/>
          <w:kern w:val="0"/>
          <w:sz w:val="24"/>
          <w:szCs w:val="24"/>
          <w:lang w:val="en-US" w:eastAsia="zh-CN" w:bidi="ar"/>
        </w:rPr>
        <w:t>误差</w:t>
      </w:r>
      <w:r>
        <w:rPr>
          <w:rFonts w:ascii="宋体" w:hAnsi="宋体" w:eastAsia="宋体" w:cs="宋体"/>
          <w:snapToGrid w:val="0"/>
          <w:color w:val="000000"/>
          <w:kern w:val="0"/>
          <w:sz w:val="24"/>
          <w:szCs w:val="24"/>
          <w:lang w:val="en-US" w:eastAsia="zh-CN" w:bidi="ar"/>
        </w:rPr>
        <w:t>：不大于 0.5 mm。 定位结构：如胶垫带有定位唇、定位槽等结构，其尺寸和位置公差按图纸执行。</w:t>
      </w:r>
    </w:p>
    <w:p>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4.</w:t>
      </w:r>
      <w:r>
        <w:rPr>
          <w:rFonts w:hint="eastAsia" w:ascii="宋体" w:hAnsi="宋体" w:eastAsia="宋体" w:cs="宋体"/>
          <w:snapToGrid w:val="0"/>
          <w:color w:val="000000"/>
          <w:kern w:val="0"/>
          <w:sz w:val="24"/>
          <w:szCs w:val="24"/>
          <w:lang w:val="en-US" w:eastAsia="zh-CN" w:bidi="ar"/>
        </w:rPr>
        <w:t>3</w:t>
      </w:r>
      <w:r>
        <w:rPr>
          <w:rFonts w:ascii="宋体" w:hAnsi="宋体" w:eastAsia="宋体" w:cs="宋体"/>
          <w:snapToGrid w:val="0"/>
          <w:color w:val="000000"/>
          <w:kern w:val="0"/>
          <w:sz w:val="24"/>
          <w:szCs w:val="24"/>
          <w:lang w:val="en-US" w:eastAsia="zh-CN" w:bidi="ar"/>
        </w:rPr>
        <w:t xml:space="preserve"> 材料与制造</w:t>
      </w:r>
    </w:p>
    <w:p>
      <w:pPr>
        <w:keepNext w:val="0"/>
        <w:keepLines w:val="0"/>
        <w:widowControl/>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1)</w:t>
      </w:r>
      <w:r>
        <w:rPr>
          <w:rFonts w:ascii="宋体" w:hAnsi="宋体" w:eastAsia="宋体" w:cs="宋体"/>
          <w:snapToGrid w:val="0"/>
          <w:color w:val="000000"/>
          <w:kern w:val="0"/>
          <w:sz w:val="24"/>
          <w:szCs w:val="24"/>
          <w:lang w:val="en-US" w:eastAsia="zh-CN" w:bidi="ar"/>
        </w:rPr>
        <w:t xml:space="preserve">制造工艺与性能 制造工艺：采用模压成型工艺，确保胶垫内部致密、无气泡、无分层。 硬度（邵氏 A）： 滤室胶垫：一般为 60 ± 5 邵氏 A。 隔膜胶垫：一般为 50 ± 5 邵氏 A（具体按设备厂家推荐值）。 物理机械性能（由供需双方确认，以下为示例）： 拉伸强度：≥ XX MPa 扯断伸长率：≥ XX % 撕裂强度：≥ XX kN/m 压缩永久变形（70 ℃ × 24 h，25% 压缩）：≤ XX % 耐介质性能： 胶垫在设备工况的介质中浸泡规定时间后，体积变化率应控制在 ±10% 以内，硬度变化不超过 ±10 邵氏 A，且不得出现龟裂、发粘、发脆等现象。 耐温性能：在规定温度范围内，胶垫应保持弹性和密封性能，不得出现硬化、软化或开裂。 </w:t>
      </w:r>
    </w:p>
    <w:p>
      <w:pPr>
        <w:keepNext w:val="0"/>
        <w:keepLines w:val="0"/>
        <w:widowControl/>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2)</w:t>
      </w:r>
      <w:r>
        <w:rPr>
          <w:rFonts w:ascii="宋体" w:hAnsi="宋体" w:eastAsia="宋体" w:cs="宋体"/>
          <w:snapToGrid w:val="0"/>
          <w:color w:val="000000"/>
          <w:kern w:val="0"/>
          <w:sz w:val="24"/>
          <w:szCs w:val="24"/>
          <w:lang w:val="en-US" w:eastAsia="zh-CN" w:bidi="ar"/>
        </w:rPr>
        <w:t>表面质量与加工精度 外观质量： 内外表面应光滑平整，无裂纹、气泡、杂质、缺胶、分层等缺陷。 允许存在经打磨后不影响使用的轻微缺陷，打磨处应平滑过渡。 边缘质量： 边缘应整齐，无毛刺、飞边。 切割面应平整，不得有撕裂或分层现象。 清洁度： 胶垫表面应清洁，无油污、灰尘、锈蚀等污染物。 出厂前应进行脱模剂清洗处理，不得残留影响密封或污染物料的物质。</w:t>
      </w:r>
    </w:p>
    <w:p>
      <w:pPr>
        <w:keepNext w:val="0"/>
        <w:keepLines w:val="0"/>
        <w:widowControl/>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3)</w:t>
      </w:r>
      <w:r>
        <w:rPr>
          <w:rFonts w:ascii="宋体" w:hAnsi="宋体" w:eastAsia="宋体" w:cs="宋体"/>
          <w:snapToGrid w:val="0"/>
          <w:color w:val="000000"/>
          <w:kern w:val="0"/>
          <w:sz w:val="24"/>
          <w:szCs w:val="24"/>
          <w:lang w:val="en-US" w:eastAsia="zh-CN" w:bidi="ar"/>
        </w:rPr>
        <w:t>无损检测与试验 外观检查：逐件检查胶垫的外观质量，记录并剔除不合</w:t>
      </w:r>
    </w:p>
    <w:p>
      <w:pPr>
        <w:keepNext w:val="0"/>
        <w:keepLines w:val="0"/>
        <w:widowControl/>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4)</w:t>
      </w:r>
      <w:r>
        <w:rPr>
          <w:rFonts w:ascii="宋体" w:hAnsi="宋体" w:eastAsia="宋体" w:cs="宋体"/>
          <w:snapToGrid w:val="0"/>
          <w:color w:val="000000"/>
          <w:kern w:val="0"/>
          <w:sz w:val="24"/>
          <w:szCs w:val="24"/>
          <w:lang w:val="en-US" w:eastAsia="zh-CN" w:bidi="ar"/>
        </w:rPr>
        <w:t xml:space="preserve">尺寸检查：按图纸要求抽检或全检胶垫的关键尺寸。 硬度检测：每批抽检不少于 X 件，每件至少测 3 点取平均值。 </w:t>
      </w:r>
    </w:p>
    <w:p>
      <w:pPr>
        <w:keepNext w:val="0"/>
        <w:keepLines w:val="0"/>
        <w:widowControl/>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5)</w:t>
      </w:r>
      <w:r>
        <w:rPr>
          <w:rFonts w:ascii="宋体" w:hAnsi="宋体" w:eastAsia="宋体" w:cs="宋体"/>
          <w:snapToGrid w:val="0"/>
          <w:color w:val="000000"/>
          <w:kern w:val="0"/>
          <w:sz w:val="24"/>
          <w:szCs w:val="24"/>
          <w:lang w:val="en-US" w:eastAsia="zh-CN" w:bidi="ar"/>
        </w:rPr>
        <w:t xml:space="preserve">物理性能试验：按批次抽样送第三方检测机构进行拉伸强度、伸长率、撕裂强度、压缩永久变形等试验，并提供检验报告。 </w:t>
      </w:r>
    </w:p>
    <w:p>
      <w:pPr>
        <w:keepNext w:val="0"/>
        <w:keepLines w:val="0"/>
        <w:widowControl/>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6)</w:t>
      </w:r>
      <w:r>
        <w:rPr>
          <w:rFonts w:ascii="宋体" w:hAnsi="宋体" w:eastAsia="宋体" w:cs="宋体"/>
          <w:snapToGrid w:val="0"/>
          <w:color w:val="000000"/>
          <w:kern w:val="0"/>
          <w:sz w:val="24"/>
          <w:szCs w:val="24"/>
          <w:lang w:val="en-US" w:eastAsia="zh-CN" w:bidi="ar"/>
        </w:rPr>
        <w:t xml:space="preserve">耐介质性能试验：按工况要求抽样进行浸泡试验，检测体积变化和硬度变化。 </w:t>
      </w:r>
    </w:p>
    <w:p>
      <w:pPr>
        <w:keepNext w:val="0"/>
        <w:keepLines w:val="0"/>
        <w:widowControl/>
        <w:suppressLineNumbers w:val="0"/>
        <w:ind w:firstLine="480" w:firstLineChars="200"/>
        <w:jc w:val="left"/>
        <w:rPr>
          <w:rFonts w:hint="default"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7)</w:t>
      </w:r>
      <w:r>
        <w:rPr>
          <w:rFonts w:ascii="宋体" w:hAnsi="宋体" w:eastAsia="宋体" w:cs="宋体"/>
          <w:snapToGrid w:val="0"/>
          <w:color w:val="000000"/>
          <w:kern w:val="0"/>
          <w:sz w:val="24"/>
          <w:szCs w:val="24"/>
          <w:lang w:val="en-US" w:eastAsia="zh-CN" w:bidi="ar"/>
        </w:rPr>
        <w:t xml:space="preserve">气密性试验：对隔膜胶垫进行充气试验，在规定压力下保压一定时间，不得有漏气现象。 </w:t>
      </w:r>
    </w:p>
    <w:p>
      <w:pPr>
        <w:keepNext w:val="0"/>
        <w:keepLines w:val="0"/>
        <w:widowControl/>
        <w:suppressLineNumbers w:val="0"/>
        <w:jc w:val="left"/>
        <w:rPr>
          <w:rFonts w:ascii="宋体" w:hAnsi="宋体" w:eastAsia="宋体" w:cs="宋体"/>
          <w:snapToGrid w:val="0"/>
          <w:color w:val="000000"/>
          <w:kern w:val="0"/>
          <w:sz w:val="24"/>
          <w:szCs w:val="24"/>
          <w:lang w:val="en-US" w:eastAsia="zh-CN" w:bidi="ar"/>
        </w:rPr>
      </w:pPr>
    </w:p>
    <w:p>
      <w:pPr>
        <w:numPr>
          <w:ilvl w:val="0"/>
          <w:numId w:val="0"/>
        </w:numPr>
        <w:adjustRightInd w:val="0"/>
        <w:snapToGrid w:val="0"/>
        <w:spacing w:line="360" w:lineRule="auto"/>
        <w:ind w:leftChars="0" w:right="-15" w:rightChars="0" w:firstLine="241" w:firstLineChars="100"/>
        <w:jc w:val="left"/>
        <w:textAlignment w:val="baseline"/>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供货清单</w:t>
      </w:r>
    </w:p>
    <w:p>
      <w:pPr>
        <w:numPr>
          <w:ilvl w:val="0"/>
          <w:numId w:val="1"/>
        </w:numPr>
        <w:adjustRightInd w:val="0"/>
        <w:snapToGrid w:val="0"/>
        <w:spacing w:line="360" w:lineRule="auto"/>
        <w:ind w:left="0" w:leftChars="0" w:right="-15" w:firstLine="0" w:firstLineChars="0"/>
        <w:jc w:val="left"/>
        <w:textAlignment w:val="baseline"/>
        <w:rPr>
          <w:rFonts w:hint="eastAsia" w:ascii="宋体" w:hAnsi="宋体" w:eastAsia="宋体" w:cs="宋体"/>
          <w:b/>
          <w:bCs/>
          <w:color w:val="auto"/>
          <w:kern w:val="0"/>
          <w:sz w:val="24"/>
          <w:szCs w:val="24"/>
          <w:lang w:val="en-US" w:eastAsia="zh-CN"/>
        </w:rPr>
      </w:pPr>
    </w:p>
    <w:tbl>
      <w:tblPr>
        <w:tblStyle w:val="8"/>
        <w:tblW w:w="923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22"/>
        <w:gridCol w:w="1237"/>
        <w:gridCol w:w="4235"/>
        <w:gridCol w:w="1284"/>
        <w:gridCol w:w="969"/>
        <w:gridCol w:w="98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5" w:hRule="atLeast"/>
          <w:jc w:val="center"/>
        </w:trPr>
        <w:tc>
          <w:tcPr>
            <w:tcW w:w="522" w:type="dxa"/>
            <w:textDirection w:val="tbRlV"/>
            <w:vAlign w:val="top"/>
          </w:tcPr>
          <w:p>
            <w:pPr>
              <w:pStyle w:val="9"/>
              <w:spacing w:before="157" w:line="209" w:lineRule="auto"/>
              <w:ind w:left="35"/>
              <w:rPr>
                <w:rFonts w:hint="eastAsia" w:ascii="宋体" w:hAnsi="宋体" w:eastAsia="宋体" w:cs="宋体"/>
                <w:sz w:val="24"/>
                <w:szCs w:val="24"/>
              </w:rPr>
            </w:pPr>
            <w:r>
              <w:rPr>
                <w:rFonts w:hint="eastAsia" w:ascii="宋体" w:hAnsi="宋体" w:eastAsia="宋体" w:cs="宋体"/>
                <w:spacing w:val="13"/>
                <w:sz w:val="24"/>
                <w:szCs w:val="24"/>
              </w:rPr>
              <w:t>序</w:t>
            </w:r>
            <w:r>
              <w:rPr>
                <w:rFonts w:hint="eastAsia" w:ascii="宋体" w:hAnsi="宋体" w:eastAsia="宋体" w:cs="宋体"/>
                <w:spacing w:val="94"/>
                <w:sz w:val="24"/>
                <w:szCs w:val="24"/>
              </w:rPr>
              <w:t xml:space="preserve"> </w:t>
            </w:r>
            <w:r>
              <w:rPr>
                <w:rFonts w:hint="eastAsia" w:ascii="宋体" w:hAnsi="宋体" w:eastAsia="宋体" w:cs="宋体"/>
                <w:spacing w:val="13"/>
                <w:sz w:val="24"/>
                <w:szCs w:val="24"/>
              </w:rPr>
              <w:t>号</w:t>
            </w:r>
          </w:p>
        </w:tc>
        <w:tc>
          <w:tcPr>
            <w:tcW w:w="1237" w:type="dxa"/>
            <w:vAlign w:val="top"/>
          </w:tcPr>
          <w:p>
            <w:pPr>
              <w:pStyle w:val="9"/>
              <w:spacing w:before="238" w:line="232" w:lineRule="auto"/>
              <w:ind w:left="412"/>
              <w:rPr>
                <w:rFonts w:hint="eastAsia" w:ascii="宋体" w:hAnsi="宋体" w:eastAsia="宋体" w:cs="宋体"/>
                <w:sz w:val="24"/>
                <w:szCs w:val="24"/>
              </w:rPr>
            </w:pPr>
            <w:r>
              <w:rPr>
                <w:rFonts w:hint="eastAsia" w:ascii="宋体" w:hAnsi="宋体" w:eastAsia="宋体" w:cs="宋体"/>
                <w:spacing w:val="-1"/>
                <w:sz w:val="24"/>
                <w:szCs w:val="24"/>
              </w:rPr>
              <w:t>代号</w:t>
            </w:r>
          </w:p>
        </w:tc>
        <w:tc>
          <w:tcPr>
            <w:tcW w:w="4235" w:type="dxa"/>
            <w:vAlign w:val="top"/>
          </w:tcPr>
          <w:p>
            <w:pPr>
              <w:pStyle w:val="9"/>
              <w:spacing w:before="239" w:line="229" w:lineRule="auto"/>
              <w:ind w:left="1491"/>
              <w:rPr>
                <w:rFonts w:hint="eastAsia" w:ascii="宋体" w:hAnsi="宋体" w:eastAsia="宋体" w:cs="宋体"/>
                <w:sz w:val="24"/>
                <w:szCs w:val="24"/>
              </w:rPr>
            </w:pPr>
            <w:r>
              <w:rPr>
                <w:rFonts w:hint="eastAsia" w:ascii="宋体" w:hAnsi="宋体" w:eastAsia="宋体" w:cs="宋体"/>
                <w:spacing w:val="1"/>
                <w:sz w:val="24"/>
                <w:szCs w:val="24"/>
              </w:rPr>
              <w:t>名称</w:t>
            </w:r>
          </w:p>
        </w:tc>
        <w:tc>
          <w:tcPr>
            <w:tcW w:w="1284" w:type="dxa"/>
            <w:tcBorders>
              <w:bottom w:val="single" w:color="auto" w:sz="4" w:space="0"/>
            </w:tcBorders>
            <w:vAlign w:val="top"/>
          </w:tcPr>
          <w:p>
            <w:pPr>
              <w:pStyle w:val="9"/>
              <w:spacing w:before="238" w:line="232" w:lineRule="auto"/>
              <w:ind w:left="218"/>
              <w:rPr>
                <w:rFonts w:hint="eastAsia" w:ascii="宋体" w:hAnsi="宋体" w:eastAsia="宋体" w:cs="宋体"/>
                <w:sz w:val="24"/>
                <w:szCs w:val="24"/>
              </w:rPr>
            </w:pPr>
            <w:r>
              <w:rPr>
                <w:rFonts w:hint="eastAsia" w:ascii="宋体" w:hAnsi="宋体" w:eastAsia="宋体" w:cs="宋体"/>
                <w:spacing w:val="2"/>
                <w:sz w:val="24"/>
                <w:szCs w:val="24"/>
              </w:rPr>
              <w:t>数量</w:t>
            </w:r>
          </w:p>
        </w:tc>
        <w:tc>
          <w:tcPr>
            <w:tcW w:w="969" w:type="dxa"/>
            <w:tcBorders>
              <w:bottom w:val="single" w:color="auto" w:sz="4" w:space="0"/>
            </w:tcBorders>
            <w:vAlign w:val="top"/>
          </w:tcPr>
          <w:p>
            <w:pPr>
              <w:pStyle w:val="9"/>
              <w:spacing w:before="239" w:line="229" w:lineRule="auto"/>
              <w:ind w:left="125"/>
              <w:rPr>
                <w:rFonts w:hint="eastAsia" w:ascii="宋体" w:hAnsi="宋体" w:eastAsia="宋体" w:cs="宋体"/>
                <w:sz w:val="24"/>
                <w:szCs w:val="24"/>
              </w:rPr>
            </w:pPr>
            <w:r>
              <w:rPr>
                <w:rFonts w:hint="eastAsia" w:ascii="宋体" w:hAnsi="宋体" w:eastAsia="宋体" w:cs="宋体"/>
                <w:spacing w:val="-1"/>
                <w:sz w:val="24"/>
                <w:szCs w:val="24"/>
              </w:rPr>
              <w:t>单位</w:t>
            </w:r>
          </w:p>
        </w:tc>
        <w:tc>
          <w:tcPr>
            <w:tcW w:w="985" w:type="dxa"/>
            <w:tcBorders>
              <w:bottom w:val="single" w:color="auto" w:sz="4" w:space="0"/>
            </w:tcBorders>
            <w:vAlign w:val="top"/>
          </w:tcPr>
          <w:p>
            <w:pPr>
              <w:pStyle w:val="9"/>
              <w:spacing w:before="239" w:line="233" w:lineRule="auto"/>
              <w:ind w:left="648"/>
              <w:rPr>
                <w:rFonts w:hint="eastAsia" w:ascii="宋体" w:hAnsi="宋体" w:eastAsia="宋体" w:cs="宋体"/>
                <w:sz w:val="24"/>
                <w:szCs w:val="24"/>
              </w:rPr>
            </w:pPr>
            <w:r>
              <w:rPr>
                <w:rFonts w:hint="eastAsia" w:ascii="宋体" w:hAnsi="宋体" w:eastAsia="宋体" w:cs="宋体"/>
                <w:spacing w:val="1"/>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 w:hRule="atLeast"/>
          <w:jc w:val="center"/>
        </w:trPr>
        <w:tc>
          <w:tcPr>
            <w:tcW w:w="522" w:type="dxa"/>
            <w:vAlign w:val="center"/>
          </w:tcPr>
          <w:p>
            <w:pPr>
              <w:spacing w:line="240" w:lineRule="auto"/>
              <w:jc w:val="center"/>
              <w:rPr>
                <w:rFonts w:hint="eastAsia" w:ascii="宋体" w:hAnsi="宋体" w:eastAsia="宋体" w:cs="宋体"/>
                <w:b w:val="0"/>
                <w:bCs w:val="0"/>
                <w:sz w:val="24"/>
                <w:szCs w:val="24"/>
              </w:rPr>
            </w:pPr>
          </w:p>
          <w:p>
            <w:pPr>
              <w:pStyle w:val="9"/>
              <w:spacing w:before="61" w:line="240" w:lineRule="auto"/>
              <w:ind w:left="231"/>
              <w:jc w:val="both"/>
              <w:rPr>
                <w:rFonts w:hint="eastAsia" w:ascii="宋体" w:hAnsi="宋体" w:eastAsia="宋体" w:cs="宋体"/>
                <w:b w:val="0"/>
                <w:bCs w:val="0"/>
                <w:sz w:val="24"/>
                <w:szCs w:val="24"/>
              </w:rPr>
            </w:pPr>
            <w:r>
              <w:rPr>
                <w:rFonts w:hint="eastAsia" w:ascii="宋体" w:hAnsi="宋体" w:eastAsia="宋体" w:cs="宋体"/>
                <w:b w:val="0"/>
                <w:bCs w:val="0"/>
                <w:sz w:val="24"/>
                <w:szCs w:val="24"/>
              </w:rPr>
              <w:t>1</w:t>
            </w:r>
          </w:p>
        </w:tc>
        <w:tc>
          <w:tcPr>
            <w:tcW w:w="1237" w:type="dxa"/>
            <w:vAlign w:val="center"/>
          </w:tcPr>
          <w:p>
            <w:pPr>
              <w:pStyle w:val="9"/>
              <w:spacing w:before="62" w:line="240" w:lineRule="auto"/>
              <w:jc w:val="center"/>
              <w:rPr>
                <w:rFonts w:hint="eastAsia" w:ascii="宋体" w:hAnsi="宋体" w:eastAsia="宋体" w:cs="宋体"/>
                <w:b w:val="0"/>
                <w:bCs w:val="0"/>
                <w:i w:val="0"/>
                <w:iCs w:val="0"/>
                <w:snapToGrid w:val="0"/>
                <w:color w:val="000000"/>
                <w:kern w:val="0"/>
                <w:sz w:val="24"/>
                <w:szCs w:val="24"/>
                <w:u w:val="none"/>
                <w:lang w:val="en-US" w:eastAsia="zh-CN" w:bidi="ar"/>
              </w:rPr>
            </w:pPr>
            <w:r>
              <w:rPr>
                <w:rFonts w:hint="eastAsia" w:ascii="宋体" w:hAnsi="宋体" w:eastAsia="宋体" w:cs="宋体"/>
                <w:spacing w:val="-1"/>
                <w:sz w:val="24"/>
                <w:szCs w:val="24"/>
                <w:lang w:val="en-US" w:eastAsia="zh-CN"/>
              </w:rPr>
              <w:t>70368514</w:t>
            </w:r>
          </w:p>
        </w:tc>
        <w:tc>
          <w:tcPr>
            <w:tcW w:w="4235" w:type="dxa"/>
            <w:tcBorders>
              <w:right w:val="single" w:color="auto" w:sz="4" w:space="0"/>
            </w:tcBorders>
            <w:vAlign w:val="center"/>
          </w:tcPr>
          <w:p>
            <w:pPr>
              <w:pStyle w:val="9"/>
              <w:spacing w:before="132" w:line="240" w:lineRule="auto"/>
              <w:ind w:right="385"/>
              <w:jc w:val="left"/>
              <w:rPr>
                <w:rFonts w:hint="eastAsia" w:ascii="宋体" w:hAnsi="宋体" w:eastAsia="宋体" w:cs="宋体"/>
                <w:b w:val="0"/>
                <w:bCs w:val="0"/>
                <w:i w:val="0"/>
                <w:iCs w:val="0"/>
                <w:snapToGrid w:val="0"/>
                <w:color w:val="000000"/>
                <w:kern w:val="0"/>
                <w:sz w:val="24"/>
                <w:szCs w:val="24"/>
                <w:u w:val="none"/>
                <w:lang w:val="en-US" w:eastAsia="zh-CN" w:bidi="ar"/>
              </w:rPr>
            </w:pPr>
            <w:r>
              <w:rPr>
                <w:rFonts w:hint="eastAsia" w:ascii="宋体" w:hAnsi="宋体" w:eastAsia="宋体" w:cs="宋体"/>
                <w:b w:val="0"/>
                <w:bCs w:val="0"/>
                <w:i w:val="0"/>
                <w:iCs w:val="0"/>
                <w:snapToGrid w:val="0"/>
                <w:color w:val="000000"/>
                <w:kern w:val="0"/>
                <w:sz w:val="24"/>
                <w:szCs w:val="24"/>
                <w:u w:val="none"/>
                <w:lang w:val="en-US" w:eastAsia="zh-CN" w:bidi="ar"/>
              </w:rPr>
              <w:t>滤液胶垫\VPA2040-60 SA229140-1</w:t>
            </w:r>
          </w:p>
        </w:tc>
        <w:tc>
          <w:tcPr>
            <w:tcW w:w="1284" w:type="dxa"/>
            <w:tcBorders>
              <w:top w:val="single" w:color="auto" w:sz="4" w:space="0"/>
              <w:left w:val="single" w:color="auto" w:sz="4" w:space="0"/>
              <w:bottom w:val="single" w:color="auto" w:sz="4" w:space="0"/>
              <w:right w:val="single" w:color="auto" w:sz="4" w:space="0"/>
            </w:tcBorders>
            <w:vAlign w:val="center"/>
          </w:tcPr>
          <w:p>
            <w:pPr>
              <w:pStyle w:val="9"/>
              <w:spacing w:before="132" w:line="240" w:lineRule="auto"/>
              <w:ind w:right="385"/>
              <w:jc w:val="center"/>
              <w:rPr>
                <w:rFonts w:hint="eastAsia" w:ascii="宋体" w:hAnsi="宋体" w:eastAsia="宋体" w:cs="宋体"/>
                <w:b w:val="0"/>
                <w:bCs w:val="0"/>
                <w:spacing w:val="8"/>
                <w:sz w:val="24"/>
                <w:szCs w:val="24"/>
              </w:rPr>
            </w:pPr>
            <w:r>
              <w:rPr>
                <w:rFonts w:hint="eastAsia" w:ascii="宋体" w:hAnsi="宋体" w:eastAsia="宋体" w:cs="宋体"/>
                <w:b w:val="0"/>
                <w:bCs w:val="0"/>
                <w:i w:val="0"/>
                <w:iCs w:val="0"/>
                <w:color w:val="000000"/>
                <w:kern w:val="0"/>
                <w:sz w:val="24"/>
                <w:szCs w:val="24"/>
                <w:u w:val="none"/>
                <w:lang w:val="en-US" w:eastAsia="zh-CN" w:bidi="ar"/>
              </w:rPr>
              <w:t>依据采购合同</w:t>
            </w:r>
          </w:p>
        </w:tc>
        <w:tc>
          <w:tcPr>
            <w:tcW w:w="969" w:type="dxa"/>
            <w:tcBorders>
              <w:top w:val="single" w:color="auto" w:sz="4" w:space="0"/>
              <w:left w:val="single" w:color="auto" w:sz="4" w:space="0"/>
              <w:bottom w:val="single" w:color="auto" w:sz="4" w:space="0"/>
              <w:right w:val="single" w:color="auto" w:sz="4" w:space="0"/>
            </w:tcBorders>
            <w:vAlign w:val="center"/>
          </w:tcPr>
          <w:p>
            <w:pPr>
              <w:pStyle w:val="9"/>
              <w:spacing w:before="224" w:line="240" w:lineRule="auto"/>
              <w:ind w:firstLine="244" w:firstLineChars="100"/>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pacing w:val="2"/>
                <w:sz w:val="24"/>
                <w:szCs w:val="24"/>
                <w:lang w:val="en-US" w:eastAsia="zh-CN"/>
              </w:rPr>
              <w:t>JM</w:t>
            </w:r>
          </w:p>
        </w:tc>
        <w:tc>
          <w:tcPr>
            <w:tcW w:w="985" w:type="dxa"/>
            <w:vMerge w:val="restart"/>
            <w:tcBorders>
              <w:top w:val="single" w:color="auto" w:sz="4" w:space="0"/>
              <w:left w:val="single" w:color="auto" w:sz="4" w:space="0"/>
              <w:bottom w:val="single" w:color="auto" w:sz="4" w:space="0"/>
              <w:right w:val="single" w:color="auto" w:sz="4" w:space="0"/>
            </w:tcBorders>
            <w:vAlign w:val="top"/>
          </w:tcPr>
          <w:p>
            <w:pPr>
              <w:spacing w:line="240" w:lineRule="auto"/>
              <w:jc w:val="both"/>
              <w:rPr>
                <w:rFonts w:hint="eastAsia" w:ascii="宋体" w:hAnsi="宋体" w:eastAsia="宋体" w:cs="宋体"/>
                <w:b/>
                <w:bCs/>
                <w:sz w:val="24"/>
                <w:szCs w:val="24"/>
              </w:rPr>
            </w:pPr>
          </w:p>
          <w:p>
            <w:pPr>
              <w:pStyle w:val="9"/>
              <w:spacing w:before="65" w:line="240" w:lineRule="auto"/>
              <w:ind w:right="108"/>
              <w:jc w:val="both"/>
              <w:rPr>
                <w:rFonts w:hint="eastAsia" w:ascii="宋体" w:hAnsi="宋体" w:eastAsia="宋体" w:cs="宋体"/>
                <w:b/>
                <w:bCs/>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jc w:val="center"/>
        </w:trPr>
        <w:tc>
          <w:tcPr>
            <w:tcW w:w="522" w:type="dxa"/>
            <w:vAlign w:val="top"/>
          </w:tcPr>
          <w:p>
            <w:pPr>
              <w:spacing w:line="240" w:lineRule="auto"/>
              <w:jc w:val="both"/>
              <w:rPr>
                <w:rFonts w:hint="eastAsia" w:ascii="宋体" w:hAnsi="宋体" w:eastAsia="宋体" w:cs="宋体"/>
                <w:b w:val="0"/>
                <w:bCs w:val="0"/>
                <w:sz w:val="24"/>
                <w:szCs w:val="24"/>
                <w:lang w:val="en-US" w:eastAsia="zh-CN"/>
              </w:rPr>
            </w:pPr>
          </w:p>
          <w:p>
            <w:pPr>
              <w:spacing w:line="240" w:lineRule="auto"/>
              <w:ind w:firstLine="240" w:firstLineChars="1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p>
        </w:tc>
        <w:tc>
          <w:tcPr>
            <w:tcW w:w="1237" w:type="dxa"/>
            <w:vAlign w:val="top"/>
          </w:tcPr>
          <w:p>
            <w:pPr>
              <w:spacing w:line="240" w:lineRule="auto"/>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70368512</w:t>
            </w:r>
          </w:p>
        </w:tc>
        <w:tc>
          <w:tcPr>
            <w:tcW w:w="4235" w:type="dxa"/>
            <w:tcBorders>
              <w:right w:val="single" w:color="auto" w:sz="4" w:space="0"/>
            </w:tcBorders>
            <w:vAlign w:val="top"/>
          </w:tcPr>
          <w:p>
            <w:pPr>
              <w:spacing w:line="240" w:lineRule="auto"/>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干燥胶垫\VPA2040-60 SA229141-1</w:t>
            </w:r>
          </w:p>
        </w:tc>
        <w:tc>
          <w:tcPr>
            <w:tcW w:w="1284" w:type="dxa"/>
            <w:tcBorders>
              <w:top w:val="single" w:color="auto" w:sz="4" w:space="0"/>
              <w:left w:val="single" w:color="auto" w:sz="4" w:space="0"/>
              <w:bottom w:val="single" w:color="auto" w:sz="4" w:space="0"/>
              <w:right w:val="single" w:color="auto" w:sz="4" w:space="0"/>
            </w:tcBorders>
            <w:vAlign w:val="top"/>
          </w:tcPr>
          <w:p>
            <w:pPr>
              <w:spacing w:line="240" w:lineRule="auto"/>
              <w:jc w:val="left"/>
              <w:rPr>
                <w:rFonts w:hint="eastAsia" w:ascii="宋体" w:hAnsi="宋体" w:eastAsia="宋体" w:cs="宋体"/>
                <w:b w:val="0"/>
                <w:bCs w:val="0"/>
                <w:i w:val="0"/>
                <w:iCs w:val="0"/>
                <w:snapToGrid w:val="0"/>
                <w:color w:val="000000"/>
                <w:kern w:val="0"/>
                <w:sz w:val="24"/>
                <w:szCs w:val="24"/>
                <w:u w:val="none"/>
                <w:lang w:val="en-US" w:eastAsia="zh-CN" w:bidi="ar"/>
              </w:rPr>
            </w:pPr>
            <w:r>
              <w:rPr>
                <w:rFonts w:hint="eastAsia" w:ascii="宋体" w:hAnsi="宋体" w:eastAsia="宋体" w:cs="宋体"/>
                <w:b w:val="0"/>
                <w:bCs w:val="0"/>
                <w:i w:val="0"/>
                <w:iCs w:val="0"/>
                <w:snapToGrid w:val="0"/>
                <w:color w:val="000000"/>
                <w:kern w:val="0"/>
                <w:sz w:val="24"/>
                <w:szCs w:val="24"/>
                <w:u w:val="none"/>
                <w:lang w:val="en-US" w:eastAsia="zh-CN" w:bidi="ar"/>
              </w:rPr>
              <w:t>依据采</w:t>
            </w:r>
          </w:p>
          <w:p>
            <w:pPr>
              <w:spacing w:line="240" w:lineRule="auto"/>
              <w:jc w:val="left"/>
              <w:rPr>
                <w:rFonts w:hint="eastAsia" w:ascii="宋体" w:hAnsi="宋体" w:eastAsia="宋体" w:cs="宋体"/>
                <w:b w:val="0"/>
                <w:bCs w:val="0"/>
                <w:sz w:val="24"/>
                <w:szCs w:val="24"/>
                <w:lang w:val="en-US" w:eastAsia="zh-CN"/>
              </w:rPr>
            </w:pPr>
            <w:r>
              <w:rPr>
                <w:rFonts w:hint="eastAsia" w:ascii="宋体" w:hAnsi="宋体" w:eastAsia="宋体" w:cs="宋体"/>
                <w:b w:val="0"/>
                <w:bCs w:val="0"/>
                <w:i w:val="0"/>
                <w:iCs w:val="0"/>
                <w:snapToGrid w:val="0"/>
                <w:color w:val="000000"/>
                <w:kern w:val="0"/>
                <w:sz w:val="24"/>
                <w:szCs w:val="24"/>
                <w:u w:val="none"/>
                <w:lang w:val="en-US" w:eastAsia="zh-CN" w:bidi="ar"/>
              </w:rPr>
              <w:t>购合同</w:t>
            </w:r>
          </w:p>
        </w:tc>
        <w:tc>
          <w:tcPr>
            <w:tcW w:w="969" w:type="dxa"/>
            <w:tcBorders>
              <w:top w:val="single" w:color="auto" w:sz="4" w:space="0"/>
              <w:left w:val="single" w:color="auto" w:sz="4" w:space="0"/>
              <w:bottom w:val="single" w:color="auto" w:sz="4" w:space="0"/>
              <w:right w:val="single" w:color="auto" w:sz="4" w:space="0"/>
            </w:tcBorders>
            <w:vAlign w:val="top"/>
          </w:tcPr>
          <w:p>
            <w:pPr>
              <w:spacing w:line="240" w:lineRule="auto"/>
              <w:ind w:firstLine="480" w:firstLineChars="200"/>
              <w:jc w:val="left"/>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JM</w:t>
            </w:r>
          </w:p>
        </w:tc>
        <w:tc>
          <w:tcPr>
            <w:tcW w:w="985" w:type="dxa"/>
            <w:vMerge w:val="continue"/>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sz w:val="24"/>
                <w:szCs w:val="24"/>
              </w:rPr>
            </w:pPr>
          </w:p>
        </w:tc>
      </w:tr>
    </w:tbl>
    <w:p>
      <w:pPr>
        <w:adjustRightInd w:val="0"/>
        <w:snapToGrid w:val="0"/>
        <w:spacing w:line="360" w:lineRule="auto"/>
        <w:ind w:right="-15"/>
        <w:jc w:val="left"/>
        <w:textAlignment w:val="baseline"/>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四、制造过程监制</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 合同签订后一周内提供详尽的制造进度，包括原材料采购备货情况、按最小制造工序列出的进度、各阶段质量控制节点与验收标准、预计发货时间等内容，每周向甲方反馈制造进度执行情况，附相关的照片、视频。</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 甲方有权乙方有关部门查(借)阅卖方的与本产品有关的标准(包括工厂标准)、图纸、资料、工艺及实际工艺过程和检验记录(包括中间检验记录)。</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 甲方在监制过程中如需借用乙方的检测工具对设备进行检测，乙方须给予积极配合。应免费提供必要的安全用具、办公设备、技术资料和图纸、核算数据、制造和检验标准及其它必备检验数据等。</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4 甲方在监制过程中如发现设备、材料缺陷或不符合规定的标准和不能满足设计要求时，有权提出修理和重做的要求，乙方须满足该要求，以保证设备质量。无论甲方是否要求和是否知道，乙方须主动及时向甲方通报产品制造过程中出现的质量缺陷和问题。</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5 无论甲方是否参与监制设备，均不视为乙方按规定承当的质量保证的解除，也不免除乙方对产品所负的其他责任和义务。</w:t>
      </w:r>
    </w:p>
    <w:p>
      <w:pPr>
        <w:adjustRightInd w:val="0"/>
        <w:snapToGrid w:val="0"/>
        <w:spacing w:line="360" w:lineRule="auto"/>
        <w:ind w:right="-15" w:firstLine="600" w:firstLineChars="250"/>
        <w:jc w:val="left"/>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val="en-US" w:eastAsia="zh-CN"/>
        </w:rPr>
        <w:t>6 乙方应配合甲方提供制造过程监管所需的照片、视频及其他资料，涉密内容可进行技术处理。</w:t>
      </w:r>
    </w:p>
    <w:p>
      <w:pPr>
        <w:adjustRightInd w:val="0"/>
        <w:snapToGrid w:val="0"/>
        <w:spacing w:line="360" w:lineRule="auto"/>
        <w:ind w:right="-15"/>
        <w:jc w:val="left"/>
        <w:textAlignment w:val="baseline"/>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五、包装运输要求</w:t>
      </w:r>
    </w:p>
    <w:p>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包装与运输 标志： 每件胶垫应在非工作面明显位置刻印或粘贴标签，内容包括：制造商名称或商标、胶垫型号/图号、适用设备型号、生产日期、批次号。 包装： 采用防潮纸或塑料薄膜包裹，外加泡沫板或纸板保护，再装入木箱或托盘。 包装箱内应附：装箱单、产品合格证、材质证明书、检验报告（如要求）。 运输： 运输过程中应防止雨淋、受潮、暴晒、碰撞和剧烈振动，避免损伤胶垫表面和标识。 装卸时应轻拿轻放，严禁抛。</w:t>
      </w:r>
    </w:p>
    <w:p>
      <w:pPr>
        <w:adjustRightInd w:val="0"/>
        <w:snapToGrid w:val="0"/>
        <w:spacing w:line="360" w:lineRule="auto"/>
        <w:ind w:right="-15"/>
        <w:jc w:val="left"/>
        <w:textAlignment w:val="baseline"/>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六、安装前质量验收：</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 乙方出厂检验</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1.1 </w:t>
      </w:r>
      <w:r>
        <w:rPr>
          <w:rFonts w:ascii="宋体" w:hAnsi="宋体" w:eastAsia="宋体" w:cs="宋体"/>
          <w:snapToGrid w:val="0"/>
          <w:color w:val="000000"/>
          <w:kern w:val="0"/>
          <w:sz w:val="24"/>
          <w:szCs w:val="24"/>
          <w:lang w:val="en-US" w:eastAsia="zh-CN" w:bidi="ar"/>
        </w:rPr>
        <w:t xml:space="preserve"> 检验与验收 出厂检验：制造商应对每批产品进行外观、尺寸、硬度等检验，并出具合格证和检验报告。 到货验收： 买方按本规格书和图纸对产品进行外观、数量、尺寸、标识等检查。 必要时进行硬度抽检或第三方复检。 如发现不合格品，买方有权拒收或要求更换/退货。 验收依据： 本技术规格书 双方确认的图纸和技术协议 适用的国家标准和行业标准 </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1.2 出厂检验报告包括的内容：物理性能、化学成分、表面质量、几何形状及尺寸，须注明使用的检测仪器名称、规格型号，检验报告须由单位技术负责人审核签字并盖公章。</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 到货外观验收</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2.1 由甲乙双方开箱按照技术规格书对数量、几何尺寸、表面质量、单件重量、随机资料进行验收。</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2.2 如果乙方未准时到达现场，甲方将自行进行该检验。</w:t>
      </w:r>
    </w:p>
    <w:p>
      <w:pPr>
        <w:adjustRightInd w:val="0"/>
        <w:snapToGrid w:val="0"/>
        <w:spacing w:line="360" w:lineRule="auto"/>
        <w:ind w:right="-15" w:firstLine="600" w:firstLineChars="250"/>
        <w:jc w:val="left"/>
        <w:textAlignment w:val="baseline"/>
        <w:rPr>
          <w:rFonts w:hint="eastAsia" w:ascii="宋体" w:hAnsi="宋体" w:eastAsia="宋体" w:cs="宋体"/>
          <w:color w:val="8DB3E2"/>
          <w:kern w:val="0"/>
          <w:sz w:val="24"/>
          <w:szCs w:val="24"/>
          <w:lang w:val="en-US" w:eastAsia="zh-CN"/>
        </w:rPr>
      </w:pPr>
      <w:r>
        <w:rPr>
          <w:rFonts w:hint="eastAsia" w:ascii="宋体" w:hAnsi="宋体" w:eastAsia="宋体" w:cs="宋体"/>
          <w:color w:val="8DB3E2"/>
          <w:kern w:val="0"/>
          <w:sz w:val="24"/>
          <w:szCs w:val="24"/>
          <w:lang w:val="en-US" w:eastAsia="zh-CN"/>
        </w:rPr>
        <w:t>3 第三方检测：本技术规格书所供备件不涉及</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4 验收结果应用</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外观验收、第三方检测等任何指标不符合本技术规格书要求的，均属于不合格品，按甲方质量异议流程进行处置。</w:t>
      </w:r>
    </w:p>
    <w:p>
      <w:pPr>
        <w:adjustRightInd w:val="0"/>
        <w:snapToGrid w:val="0"/>
        <w:spacing w:line="360" w:lineRule="auto"/>
        <w:ind w:right="-15"/>
        <w:jc w:val="left"/>
        <w:textAlignment w:val="baseline"/>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七、使用过程质量要求</w:t>
      </w:r>
    </w:p>
    <w:p>
      <w:pPr>
        <w:adjustRightInd w:val="0"/>
        <w:snapToGrid w:val="0"/>
        <w:spacing w:line="360" w:lineRule="auto"/>
        <w:ind w:right="-15" w:firstLine="600" w:firstLineChars="250"/>
        <w:jc w:val="left"/>
        <w:textAlignment w:val="baseline"/>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4"/>
          <w:lang w:val="en-US" w:eastAsia="zh-CN"/>
        </w:rPr>
        <w:t xml:space="preserve">1 </w:t>
      </w:r>
      <w:r>
        <w:rPr>
          <w:rFonts w:ascii="宋体" w:hAnsi="宋体" w:eastAsia="宋体" w:cs="宋体"/>
          <w:snapToGrid w:val="0"/>
          <w:color w:val="000000"/>
          <w:kern w:val="0"/>
          <w:sz w:val="24"/>
          <w:szCs w:val="24"/>
          <w:lang w:val="en-US" w:eastAsia="zh-CN" w:bidi="ar"/>
        </w:rPr>
        <w:t>在质保期内，因材料或制造质量问题导致的胶垫损坏、渗漏等，制造商应负责免费更换</w:t>
      </w:r>
    </w:p>
    <w:p>
      <w:pPr>
        <w:adjustRightInd w:val="0"/>
        <w:snapToGrid w:val="0"/>
        <w:spacing w:line="360" w:lineRule="auto"/>
        <w:ind w:right="-15"/>
        <w:jc w:val="left"/>
        <w:textAlignment w:val="baseline"/>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八、质量保证期</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 使用寿命</w:t>
      </w:r>
    </w:p>
    <w:tbl>
      <w:tblPr>
        <w:tblStyle w:val="6"/>
        <w:tblW w:w="6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3150"/>
        <w:gridCol w:w="1260"/>
        <w:gridCol w:w="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915" w:type="dxa"/>
            <w:noWrap w:val="0"/>
            <w:vAlign w:val="center"/>
          </w:tcPr>
          <w:p>
            <w:pPr>
              <w:widowControl w:val="0"/>
              <w:adjustRightInd w:val="0"/>
              <w:snapToGrid w:val="0"/>
              <w:spacing w:line="360" w:lineRule="auto"/>
              <w:ind w:right="-15"/>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序号</w:t>
            </w:r>
          </w:p>
        </w:tc>
        <w:tc>
          <w:tcPr>
            <w:tcW w:w="3150" w:type="dxa"/>
            <w:noWrap w:val="0"/>
            <w:vAlign w:val="center"/>
          </w:tcPr>
          <w:p>
            <w:pPr>
              <w:widowControl w:val="0"/>
              <w:adjustRightInd w:val="0"/>
              <w:snapToGrid w:val="0"/>
              <w:spacing w:line="360" w:lineRule="auto"/>
              <w:ind w:right="-15" w:firstLine="600" w:firstLineChars="250"/>
              <w:jc w:val="center"/>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规格型号</w:t>
            </w:r>
          </w:p>
        </w:tc>
        <w:tc>
          <w:tcPr>
            <w:tcW w:w="1260" w:type="dxa"/>
            <w:noWrap w:val="0"/>
            <w:vAlign w:val="center"/>
          </w:tcPr>
          <w:p>
            <w:pPr>
              <w:widowControl w:val="0"/>
              <w:adjustRightInd w:val="0"/>
              <w:snapToGrid w:val="0"/>
              <w:spacing w:line="360" w:lineRule="auto"/>
              <w:ind w:right="-15"/>
              <w:jc w:val="both"/>
              <w:textAlignment w:val="baseline"/>
              <w:rPr>
                <w:rFonts w:hint="eastAsia" w:ascii="宋体" w:hAnsi="宋体" w:eastAsia="宋体" w:cs="宋体"/>
                <w:color w:val="auto"/>
                <w:kern w:val="0"/>
                <w:sz w:val="24"/>
                <w:szCs w:val="24"/>
                <w:lang w:val="en-US" w:eastAsia="zh-CN"/>
              </w:rPr>
            </w:pPr>
            <w:r>
              <w:rPr>
                <w:rFonts w:ascii="宋体" w:hAnsi="宋体" w:eastAsia="宋体" w:cs="宋体"/>
                <w:snapToGrid w:val="0"/>
                <w:color w:val="000000"/>
                <w:kern w:val="0"/>
                <w:sz w:val="24"/>
                <w:szCs w:val="24"/>
                <w:lang w:val="en-US" w:eastAsia="zh-CN" w:bidi="ar"/>
              </w:rPr>
              <w:t>渗漏</w:t>
            </w:r>
          </w:p>
        </w:tc>
        <w:tc>
          <w:tcPr>
            <w:tcW w:w="807" w:type="dxa"/>
            <w:noWrap w:val="0"/>
            <w:vAlign w:val="center"/>
          </w:tcPr>
          <w:p>
            <w:pPr>
              <w:widowControl w:val="0"/>
              <w:adjustRightInd w:val="0"/>
              <w:snapToGrid w:val="0"/>
              <w:spacing w:line="360" w:lineRule="auto"/>
              <w:ind w:right="-15"/>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15" w:type="dxa"/>
            <w:noWrap w:val="0"/>
            <w:vAlign w:val="center"/>
          </w:tcPr>
          <w:p>
            <w:pPr>
              <w:widowControl w:val="0"/>
              <w:tabs>
                <w:tab w:val="center" w:pos="103"/>
              </w:tabs>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ab/>
            </w:r>
            <w:r>
              <w:rPr>
                <w:rFonts w:hint="eastAsia" w:ascii="宋体" w:hAnsi="宋体" w:eastAsia="宋体" w:cs="宋体"/>
                <w:color w:val="auto"/>
                <w:kern w:val="0"/>
                <w:sz w:val="24"/>
                <w:szCs w:val="24"/>
                <w:lang w:val="en-US" w:eastAsia="zh-CN"/>
              </w:rPr>
              <w:t>1</w:t>
            </w:r>
          </w:p>
        </w:tc>
        <w:tc>
          <w:tcPr>
            <w:tcW w:w="3150" w:type="dxa"/>
            <w:shd w:val="clear" w:color="auto" w:fill="auto"/>
            <w:noWrap w:val="0"/>
            <w:vAlign w:val="center"/>
          </w:tcPr>
          <w:p>
            <w:pPr>
              <w:pStyle w:val="9"/>
              <w:widowControl w:val="0"/>
              <w:spacing w:before="132" w:line="240" w:lineRule="auto"/>
              <w:ind w:right="385" w:rightChars="0"/>
              <w:jc w:val="left"/>
              <w:rPr>
                <w:rFonts w:hint="eastAsia" w:ascii="宋体" w:hAnsi="宋体" w:eastAsia="宋体" w:cs="宋体"/>
                <w:b w:val="0"/>
                <w:bCs w:val="0"/>
                <w:i w:val="0"/>
                <w:iCs w:val="0"/>
                <w:snapToGrid w:val="0"/>
                <w:color w:val="000000"/>
                <w:kern w:val="0"/>
                <w:sz w:val="24"/>
                <w:szCs w:val="24"/>
                <w:u w:val="none"/>
                <w:lang w:val="en-US" w:eastAsia="zh-CN" w:bidi="ar"/>
              </w:rPr>
            </w:pPr>
            <w:r>
              <w:rPr>
                <w:rFonts w:hint="eastAsia" w:ascii="宋体" w:hAnsi="宋体" w:eastAsia="宋体" w:cs="宋体"/>
                <w:b w:val="0"/>
                <w:bCs w:val="0"/>
                <w:i w:val="0"/>
                <w:iCs w:val="0"/>
                <w:snapToGrid w:val="0"/>
                <w:color w:val="000000"/>
                <w:kern w:val="0"/>
                <w:sz w:val="24"/>
                <w:szCs w:val="24"/>
                <w:u w:val="none"/>
                <w:lang w:val="en-US" w:eastAsia="zh-CN" w:bidi="ar"/>
              </w:rPr>
              <w:t>弹滤液胶垫\VPA2040-60 SA229140-1</w:t>
            </w:r>
          </w:p>
        </w:tc>
        <w:tc>
          <w:tcPr>
            <w:tcW w:w="1260" w:type="dxa"/>
            <w:noWrap w:val="0"/>
            <w:vAlign w:val="center"/>
          </w:tcPr>
          <w:p>
            <w:pPr>
              <w:widowControl w:val="0"/>
              <w:adjustRightInd w:val="0"/>
              <w:snapToGrid w:val="0"/>
              <w:spacing w:line="360" w:lineRule="auto"/>
              <w:ind w:right="-15"/>
              <w:jc w:val="left"/>
              <w:textAlignment w:val="baseline"/>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24个月</w:t>
            </w:r>
          </w:p>
        </w:tc>
        <w:tc>
          <w:tcPr>
            <w:tcW w:w="807" w:type="dxa"/>
            <w:noWrap w:val="0"/>
            <w:vAlign w:val="center"/>
          </w:tcPr>
          <w:p>
            <w:pPr>
              <w:widowControl w:val="0"/>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15" w:type="dxa"/>
            <w:noWrap w:val="0"/>
            <w:vAlign w:val="center"/>
          </w:tcPr>
          <w:p>
            <w:pPr>
              <w:widowControl w:val="0"/>
              <w:tabs>
                <w:tab w:val="center" w:pos="103"/>
              </w:tabs>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ab/>
            </w:r>
            <w:r>
              <w:rPr>
                <w:rFonts w:hint="eastAsia" w:ascii="宋体" w:hAnsi="宋体" w:eastAsia="宋体" w:cs="宋体"/>
                <w:color w:val="auto"/>
                <w:kern w:val="0"/>
                <w:sz w:val="24"/>
                <w:szCs w:val="24"/>
                <w:lang w:val="en-US" w:eastAsia="zh-CN"/>
              </w:rPr>
              <w:t>2</w:t>
            </w:r>
          </w:p>
        </w:tc>
        <w:tc>
          <w:tcPr>
            <w:tcW w:w="3150" w:type="dxa"/>
            <w:shd w:val="clear" w:color="auto" w:fill="auto"/>
            <w:noWrap w:val="0"/>
            <w:vAlign w:val="top"/>
          </w:tcPr>
          <w:p>
            <w:pPr>
              <w:widowControl w:val="0"/>
              <w:spacing w:line="240" w:lineRule="auto"/>
              <w:jc w:val="left"/>
              <w:rPr>
                <w:rFonts w:hint="eastAsia" w:ascii="宋体" w:hAnsi="宋体" w:eastAsia="宋体" w:cs="宋体"/>
                <w:b w:val="0"/>
                <w:bCs w:val="0"/>
                <w:snapToGrid w:val="0"/>
                <w:color w:val="000000"/>
                <w:kern w:val="0"/>
                <w:sz w:val="24"/>
                <w:szCs w:val="24"/>
                <w:lang w:val="en-US" w:eastAsia="zh-CN" w:bidi="ar-SA"/>
              </w:rPr>
            </w:pPr>
            <w:r>
              <w:rPr>
                <w:rFonts w:hint="eastAsia" w:ascii="宋体" w:hAnsi="宋体" w:eastAsia="宋体" w:cs="宋体"/>
                <w:b w:val="0"/>
                <w:bCs w:val="0"/>
                <w:sz w:val="24"/>
                <w:szCs w:val="24"/>
                <w:lang w:val="en-US" w:eastAsia="zh-CN"/>
              </w:rPr>
              <w:t>干燥胶垫\VPA2040-60 SA229141-1</w:t>
            </w:r>
          </w:p>
        </w:tc>
        <w:tc>
          <w:tcPr>
            <w:tcW w:w="1260" w:type="dxa"/>
            <w:noWrap w:val="0"/>
            <w:vAlign w:val="center"/>
          </w:tcPr>
          <w:p>
            <w:pPr>
              <w:widowControl w:val="0"/>
              <w:adjustRightInd w:val="0"/>
              <w:snapToGrid w:val="0"/>
              <w:spacing w:line="360" w:lineRule="auto"/>
              <w:ind w:right="-15"/>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24个月</w:t>
            </w:r>
          </w:p>
        </w:tc>
        <w:tc>
          <w:tcPr>
            <w:tcW w:w="807" w:type="dxa"/>
            <w:noWrap w:val="0"/>
            <w:vAlign w:val="center"/>
          </w:tcPr>
          <w:p>
            <w:pPr>
              <w:widowControl w:val="0"/>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p>
        </w:tc>
      </w:tr>
    </w:tbl>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 质量保证期</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2.1 本产品的质量保证期与使用寿命等同。</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2.2 使用寿命内，被置换部件自该更换部件的安装日期开始计算。</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2.3 使用过程中不符合第七条内容或未达到使用寿命，均属于不合格品，按甲方质量异议流程进行处置。</w:t>
      </w:r>
    </w:p>
    <w:p>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left="119" w:firstLine="466" w:firstLineChars="200"/>
        <w:jc w:val="both"/>
        <w:textAlignment w:val="auto"/>
        <w:rPr>
          <w:rFonts w:hint="eastAsia" w:ascii="宋体" w:hAnsi="宋体" w:eastAsia="宋体" w:cs="宋体"/>
          <w:b/>
          <w:color w:val="auto"/>
          <w:spacing w:val="-4"/>
          <w:kern w:val="28"/>
          <w:sz w:val="24"/>
          <w:szCs w:val="24"/>
        </w:rPr>
      </w:pPr>
      <w:r>
        <w:rPr>
          <w:rFonts w:hint="eastAsia" w:ascii="宋体" w:hAnsi="宋体" w:eastAsia="宋体" w:cs="宋体"/>
          <w:b/>
          <w:color w:val="auto"/>
          <w:spacing w:val="-4"/>
          <w:kern w:val="28"/>
          <w:sz w:val="24"/>
          <w:szCs w:val="24"/>
          <w:lang w:eastAsia="zh-CN"/>
        </w:rPr>
        <w:t>九、随机资料</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 产品合格证，合格证应包括以下内容：公司名称、产品名称、规格型号、材质牌号、制造日期或生产批次号、产品标准编号。</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 总装配图。</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3产品说明书。</w:t>
      </w:r>
    </w:p>
    <w:p>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left="119" w:firstLine="482" w:firstLineChars="200"/>
        <w:jc w:val="both"/>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lang w:eastAsia="zh-CN"/>
        </w:rPr>
        <w:t>十、交货</w:t>
      </w:r>
      <w:r>
        <w:rPr>
          <w:rFonts w:hint="eastAsia" w:ascii="宋体" w:hAnsi="宋体" w:eastAsia="宋体" w:cs="宋体"/>
          <w:b/>
          <w:color w:val="auto"/>
          <w:sz w:val="24"/>
          <w:szCs w:val="24"/>
        </w:rPr>
        <w:t>时间及地点</w:t>
      </w:r>
    </w:p>
    <w:p>
      <w:pPr>
        <w:adjustRightInd w:val="0"/>
        <w:snapToGrid w:val="0"/>
        <w:spacing w:line="360" w:lineRule="auto"/>
        <w:ind w:right="-15" w:firstLine="600" w:firstLineChars="250"/>
        <w:jc w:val="left"/>
        <w:textAlignment w:val="baseline"/>
        <w:rPr>
          <w:rFonts w:hint="eastAsia" w:ascii="宋体" w:hAnsi="宋体" w:eastAsia="宋体" w:cs="宋体"/>
          <w:b/>
          <w:color w:val="auto"/>
          <w:sz w:val="24"/>
          <w:szCs w:val="24"/>
          <w:lang w:eastAsia="zh-CN"/>
        </w:rPr>
      </w:pPr>
      <w:r>
        <w:rPr>
          <w:rFonts w:hint="eastAsia" w:ascii="宋体" w:hAnsi="宋体" w:eastAsia="宋体" w:cs="宋体"/>
          <w:color w:val="auto"/>
          <w:kern w:val="0"/>
          <w:sz w:val="24"/>
          <w:szCs w:val="24"/>
          <w:lang w:val="en-US" w:eastAsia="zh-CN"/>
        </w:rPr>
        <w:t>合同签订后60个日历日内送到合同规定的交货地点。</w:t>
      </w:r>
    </w:p>
    <w:p>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left="119" w:firstLine="482" w:firstLineChars="200"/>
        <w:jc w:val="both"/>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lang w:eastAsia="zh-CN"/>
        </w:rPr>
        <w:t>十一、</w:t>
      </w:r>
      <w:r>
        <w:rPr>
          <w:rFonts w:hint="eastAsia" w:ascii="宋体" w:hAnsi="宋体" w:eastAsia="宋体" w:cs="宋体"/>
          <w:b/>
          <w:color w:val="auto"/>
          <w:sz w:val="24"/>
          <w:szCs w:val="24"/>
        </w:rPr>
        <w:t xml:space="preserve"> </w:t>
      </w:r>
      <w:r>
        <w:rPr>
          <w:rFonts w:hint="eastAsia" w:ascii="宋体" w:hAnsi="宋体" w:eastAsia="宋体" w:cs="宋体"/>
          <w:b/>
          <w:color w:val="auto"/>
          <w:sz w:val="24"/>
          <w:szCs w:val="24"/>
          <w:lang w:eastAsia="zh-CN"/>
        </w:rPr>
        <w:t>售前、售后服务</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1 </w:t>
      </w:r>
      <w:r>
        <w:rPr>
          <w:rFonts w:hint="eastAsia" w:ascii="宋体" w:hAnsi="宋体" w:eastAsia="宋体" w:cs="宋体"/>
          <w:color w:val="auto"/>
          <w:kern w:val="0"/>
          <w:sz w:val="24"/>
          <w:szCs w:val="24"/>
          <w:lang w:val="sq-AL" w:eastAsia="zh-CN"/>
        </w:rPr>
        <w:t>乙方应结合甲方提供的使用工况，必要时到现场实地考察，提供满足现场使用要求的产品。</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 乙方须对甲方操作及维护人员进行现场培训，内容涵盖产品特性、安装规范、运行监测要点及常见故障识别方法。</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 在设备安装调试阶段，乙方应派遣经验丰富的技术人员现场指导，确保正确安装并满足要求。</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4 产品使用寿命内出现任何问题，乙方须在24小时内响应，72小时内到达现场处理，明确解决方案，并承担由此产生的一切费用。</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5 双方应建立联络机制，确保信息传递及时准确。</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6 乙方承诺提供长期技术支持，定期回访使用情况，协助甲方优化产品，实现质量、效益持续改善提升。</w:t>
      </w:r>
    </w:p>
    <w:p>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left="119" w:firstLine="482" w:firstLineChars="200"/>
        <w:jc w:val="both"/>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lang w:eastAsia="zh-CN"/>
        </w:rPr>
        <w:t>十二、</w:t>
      </w:r>
      <w:r>
        <w:rPr>
          <w:rFonts w:hint="eastAsia" w:ascii="宋体" w:hAnsi="宋体" w:eastAsia="宋体" w:cs="宋体"/>
          <w:b/>
          <w:color w:val="auto"/>
          <w:sz w:val="24"/>
          <w:szCs w:val="24"/>
        </w:rPr>
        <w:t>其它</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本协议一式四份，甲方三份，乙方一份；</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2.未尽事宜，由甲、乙双方交流协商解决。</w:t>
      </w:r>
    </w:p>
    <w:p>
      <w:pPr>
        <w:adjustRightInd w:val="0"/>
        <w:snapToGrid w:val="0"/>
        <w:spacing w:line="360" w:lineRule="auto"/>
        <w:ind w:right="-15" w:firstLine="600" w:firstLineChars="250"/>
        <w:jc w:val="left"/>
        <w:textAlignment w:val="baseline"/>
        <w:rPr>
          <w:rFonts w:hint="eastAsia" w:ascii="宋体" w:hAnsi="宋体" w:eastAsia="宋体" w:cs="宋体"/>
          <w:sz w:val="24"/>
          <w:szCs w:val="24"/>
        </w:rPr>
      </w:pPr>
      <w:r>
        <w:rPr>
          <w:rFonts w:hint="eastAsia" w:ascii="宋体" w:hAnsi="宋体" w:eastAsia="宋体" w:cs="宋体"/>
          <w:color w:val="auto"/>
          <w:kern w:val="0"/>
          <w:sz w:val="24"/>
          <w:szCs w:val="24"/>
          <w:lang w:val="en-US" w:eastAsia="zh-CN"/>
        </w:rPr>
        <w:t>3.若乙方公司不能中标，则本技术规格书自动失效，双方互不承担任何责任。 </w:t>
      </w:r>
      <w:r>
        <w:rPr>
          <w:rFonts w:hint="eastAsia" w:ascii="宋体" w:hAnsi="宋体" w:eastAsia="宋体" w:cs="宋体"/>
          <w:color w:val="auto"/>
          <w:kern w:val="0"/>
          <w:sz w:val="24"/>
          <w:szCs w:val="24"/>
          <w:lang w:val="en-US" w:eastAsia="zh-CN"/>
        </w:rPr>
        <w:br w:type="textWrapping"/>
      </w:r>
      <w:r>
        <w:rPr>
          <w:rFonts w:hint="eastAsia" w:ascii="宋体" w:hAnsi="宋体" w:eastAsia="宋体" w:cs="宋体"/>
          <w:color w:val="auto"/>
          <w:kern w:val="0"/>
          <w:sz w:val="24"/>
          <w:szCs w:val="24"/>
          <w:lang w:val="en-US" w:eastAsia="zh-CN"/>
        </w:rPr>
        <w:t xml:space="preserve">    4.本协议内容经由甲乙双方与   年  月  日  时  时通过      方式商定。 </w:t>
      </w:r>
      <w:r>
        <w:rPr>
          <w:rFonts w:hint="eastAsia" w:ascii="宋体" w:hAnsi="宋体" w:eastAsia="宋体" w:cs="宋体"/>
          <w:color w:val="auto"/>
          <w:kern w:val="0"/>
          <w:sz w:val="24"/>
          <w:szCs w:val="24"/>
          <w:lang w:val="en-US" w:eastAsia="zh-CN"/>
        </w:rPr>
        <w:br w:type="textWrapping"/>
      </w:r>
      <w:r>
        <w:rPr>
          <w:rFonts w:hint="eastAsia" w:ascii="宋体" w:hAnsi="宋体" w:eastAsia="宋体" w:cs="宋体"/>
          <w:color w:val="auto"/>
          <w:kern w:val="0"/>
          <w:sz w:val="24"/>
          <w:szCs w:val="24"/>
          <w:lang w:val="en-US" w:eastAsia="zh-CN"/>
        </w:rPr>
        <w:t xml:space="preserve">    5.甲乙双方应当就签订本协议的相关事宜保密，不得将签订主体、时间、内容等信息透露给其他第三人。 </w:t>
      </w:r>
      <w:bookmarkStart w:id="0" w:name="_GoBack"/>
      <w:bookmarkEnd w:id="0"/>
    </w:p>
    <w:p>
      <w:pPr>
        <w:pStyle w:val="4"/>
        <w:spacing w:before="41" w:line="303" w:lineRule="auto"/>
        <w:ind w:right="115"/>
        <w:rPr>
          <w:sz w:val="20"/>
          <w:szCs w:val="20"/>
        </w:rPr>
      </w:pPr>
    </w:p>
    <w:sectPr>
      <w:footerReference r:id="rId3" w:type="default"/>
      <w:pgSz w:w="11907" w:h="16840"/>
      <w:pgMar w:top="1427" w:right="1681" w:bottom="1156" w:left="1777" w:header="0" w:footer="99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38"/>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A386CB"/>
    <w:multiLevelType w:val="singleLevel"/>
    <w:tmpl w:val="ADA386CB"/>
    <w:lvl w:ilvl="0" w:tentative="0">
      <w:start w:val="2"/>
      <w:numFmt w:val="chineseCounting"/>
      <w:suff w:val="nothing"/>
      <w:lvlText w:val="%1、"/>
      <w:lvlJc w:val="left"/>
      <w:rPr>
        <w:rFonts w:hint="eastAsia"/>
      </w:rPr>
    </w:lvl>
  </w:abstractNum>
  <w:abstractNum w:abstractNumId="1">
    <w:nsid w:val="7E098002"/>
    <w:multiLevelType w:val="singleLevel"/>
    <w:tmpl w:val="7E098002"/>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5975A76"/>
    <w:rsid w:val="09F2400E"/>
    <w:rsid w:val="0E897F17"/>
    <w:rsid w:val="0FB047D2"/>
    <w:rsid w:val="11CD5576"/>
    <w:rsid w:val="1F517F79"/>
    <w:rsid w:val="1FA15E62"/>
    <w:rsid w:val="2083774F"/>
    <w:rsid w:val="262E6B4E"/>
    <w:rsid w:val="31516607"/>
    <w:rsid w:val="3158022B"/>
    <w:rsid w:val="32625925"/>
    <w:rsid w:val="382021E1"/>
    <w:rsid w:val="385E7DD2"/>
    <w:rsid w:val="3938092E"/>
    <w:rsid w:val="43007B79"/>
    <w:rsid w:val="4C991AEB"/>
    <w:rsid w:val="525E7A5F"/>
    <w:rsid w:val="58BF47EA"/>
    <w:rsid w:val="60F577E0"/>
    <w:rsid w:val="61077514"/>
    <w:rsid w:val="63566D02"/>
    <w:rsid w:val="64C179D9"/>
    <w:rsid w:val="66935763"/>
    <w:rsid w:val="6BA24749"/>
    <w:rsid w:val="6C8D2FC3"/>
    <w:rsid w:val="6FF670D1"/>
    <w:rsid w:val="72233A82"/>
    <w:rsid w:val="7E567A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semiHidden/>
    <w:qFormat/>
    <w:uiPriority w:val="0"/>
    <w:rPr>
      <w:rFonts w:ascii="仿宋" w:hAnsi="仿宋" w:eastAsia="仿宋" w:cs="仿宋"/>
      <w:sz w:val="30"/>
      <w:szCs w:val="30"/>
      <w:lang w:val="en-US" w:eastAsia="en-US" w:bidi="ar-SA"/>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仿宋" w:hAnsi="仿宋" w:eastAsia="仿宋" w:cs="仿宋"/>
      <w:sz w:val="19"/>
      <w:szCs w:val="19"/>
      <w:lang w:val="en-US" w:eastAsia="en-US" w:bidi="ar-SA"/>
    </w:rPr>
  </w:style>
  <w:style w:type="paragraph" w:customStyle="1" w:styleId="10">
    <w:name w:val="普通(网站)1"/>
    <w:basedOn w:val="1"/>
    <w:qFormat/>
    <w:uiPriority w:val="0"/>
    <w:pPr>
      <w:spacing w:before="100" w:beforeAutospacing="1" w:after="100" w:afterAutospacing="1"/>
      <w:ind w:left="0" w:right="0"/>
      <w:jc w:val="left"/>
    </w:pPr>
    <w:rPr>
      <w:kern w:val="0"/>
      <w:sz w:val="24"/>
      <w:lang w:val="en-US" w:eastAsia="zh-CN" w:bidi="ar"/>
    </w:rPr>
  </w:style>
  <w:style w:type="paragraph" w:customStyle="1" w:styleId="11">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4476</Words>
  <Characters>5007</Characters>
  <TotalTime>2</TotalTime>
  <ScaleCrop>false</ScaleCrop>
  <LinksUpToDate>false</LinksUpToDate>
  <CharactersWithSpaces>5290</CharactersWithSpaces>
  <Application>WPS Office_11.1.0.10000_F1E327BC-269C-435d-A152-05C5408002CA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2025-12-03T15:46:00Z</dcterms:created>
  <dc:creator>1</dc:creator>
  <cp:lastModifiedBy>心海</cp:lastModifiedBy>
  <dcterms:modified xsi:type="dcterms:W3CDTF">2026-03-18T07:02:12Z</dcterms:modified>
  <dc:title>武钢新3号高炉铜冷却壁招标书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2025-12-03T15:49:24Z</vt:filetime>
  </property>
  <property fmtid="{D5CDD505-2E9C-101B-9397-08002B2CF9AE}" pid="4" name="KSOProductBuildVer">
    <vt:lpwstr>2052-11.1.0.10000</vt:lpwstr>
  </property>
  <property fmtid="{D5CDD505-2E9C-101B-9397-08002B2CF9AE}" pid="5" name="ICV">
    <vt:lpwstr>2D88B71E5CD34703AC6FF2EBA60EB731_13</vt:lpwstr>
  </property>
  <property fmtid="{D5CDD505-2E9C-101B-9397-08002B2CF9AE}" pid="6" name="KSOTemplateDocerSaveRecord">
    <vt:lpwstr>eyJoZGlkIjoiMDU3MzdlNGNmODc5YWIyNzdhZWViODVlNmQ5Mzc2YTkiLCJ1c2VySWQiOiIxNDg5MzAwMTQyIn0=</vt:lpwstr>
  </property>
</Properties>
</file>